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C1E43" w14:textId="77777777" w:rsidR="005A3588" w:rsidRDefault="00C47286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</w:t>
      </w:r>
      <w:r w:rsidR="003D1A69" w:rsidRPr="0080728B">
        <w:rPr>
          <w:rFonts w:ascii="Times New Roman" w:hAnsi="Times New Roman" w:cs="Times New Roman"/>
          <w:b/>
          <w:i/>
          <w:sz w:val="22"/>
          <w:szCs w:val="22"/>
        </w:rPr>
        <w:t> </w:t>
      </w:r>
      <w:r w:rsidR="000350AE" w:rsidRPr="0080728B">
        <w:rPr>
          <w:rFonts w:ascii="Times New Roman" w:hAnsi="Times New Roman" w:cs="Times New Roman"/>
          <w:b/>
          <w:i/>
          <w:sz w:val="22"/>
          <w:szCs w:val="22"/>
        </w:rPr>
        <w:t>10</w:t>
      </w:r>
      <w:bookmarkEnd w:id="3"/>
      <w:r w:rsidR="0011403A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77777777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6E523A30" w14:textId="77777777" w:rsidR="008A105D" w:rsidRPr="0080728B" w:rsidRDefault="008A105D" w:rsidP="008A105D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DFF7C6" w14:textId="638F418A" w:rsidR="005A3588" w:rsidRPr="005A3588" w:rsidRDefault="008A105D" w:rsidP="008A105D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49D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0749D3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«ЕвроСибЭнерго-Гидрогенерация» «Братская ГЭС» </w:t>
      </w:r>
      <w:r w:rsidRPr="000749D3">
        <w:rPr>
          <w:rFonts w:ascii="Times New Roman" w:hAnsi="Times New Roman" w:cs="Times New Roman"/>
          <w:b/>
          <w:sz w:val="22"/>
          <w:szCs w:val="22"/>
        </w:rPr>
        <w:t>Стрелкова Евгения Владимировича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действующего (-ей) </w:t>
      </w:r>
      <w:r w:rsidRPr="000749D3">
        <w:rPr>
          <w:rFonts w:ascii="Times New Roman" w:hAnsi="Times New Roman" w:cs="Times New Roman"/>
          <w:sz w:val="22"/>
          <w:szCs w:val="22"/>
        </w:rPr>
        <w:t>на основании доверенности от 01.12.2020 № 72</w:t>
      </w:r>
      <w:r w:rsidR="005A358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1B3144BE" w14:textId="77777777" w:rsidR="005A3588" w:rsidRPr="005A3588" w:rsidRDefault="005A3588" w:rsidP="008A105D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4C26F062" w14:textId="2C24735C" w:rsidR="005A3588" w:rsidRDefault="005A3588" w:rsidP="008A105D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D6A5D14" w14:textId="77777777" w:rsidR="008A105D" w:rsidRPr="005A3588" w:rsidRDefault="008A105D" w:rsidP="008A105D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D18F344" w14:textId="6A4228F5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8A105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8A105D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="008A105D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14:paraId="113937B2" w14:textId="77777777" w:rsidR="005A3588" w:rsidRPr="005A3588" w:rsidRDefault="005A3588" w:rsidP="008A105D">
      <w:pPr>
        <w:widowControl w:val="0"/>
        <w:tabs>
          <w:tab w:val="num" w:pos="180"/>
          <w:tab w:val="left" w:pos="1080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20060C85" w:rsidR="005A3588" w:rsidRDefault="005A3588" w:rsidP="008A105D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31B0882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F85BF8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0B3ED1D8" w:rsid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404F68E" w14:textId="77777777" w:rsidR="008A105D" w:rsidRPr="005A3588" w:rsidRDefault="008A105D" w:rsidP="008A105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701233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8A105D">
      <w:pPr>
        <w:widowControl w:val="0"/>
        <w:tabs>
          <w:tab w:val="left" w:pos="900"/>
        </w:tabs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33F1A4D7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8A105D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77777777" w:rsidR="005A3588" w:rsidRPr="005A3588" w:rsidRDefault="005A3588" w:rsidP="008A105D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64133302" w14:textId="200ABEB1" w:rsid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7425E32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98B415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AF5DD35" w14:textId="43B33431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8A105D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="008A105D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14:paraId="2534291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00993B3F" w:rsid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11829B3C" w14:textId="77777777" w:rsidR="008A105D" w:rsidRPr="005A3588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7D5D06" w14:textId="77777777" w:rsidR="005A3588" w:rsidRPr="0041703F" w:rsidRDefault="005A3588" w:rsidP="008A105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88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8A105D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8A105D">
        <w:trPr>
          <w:trHeight w:val="926"/>
        </w:trPr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3B17276" w14:textId="77777777" w:rsidR="005A3588" w:rsidRPr="008A105D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26997E07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8A105D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8A105D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1655DDD" w14:textId="77777777" w:rsidR="005A3588" w:rsidRPr="005A3588" w:rsidRDefault="005A3588" w:rsidP="008A105D">
      <w:pPr>
        <w:numPr>
          <w:ilvl w:val="0"/>
          <w:numId w:val="19"/>
        </w:numPr>
        <w:spacing w:before="120" w:after="0" w:line="30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C32FDE5" w:rsidR="005A3588" w:rsidRPr="005A3588" w:rsidRDefault="005A3588" w:rsidP="008A105D">
      <w:pPr>
        <w:numPr>
          <w:ilvl w:val="1"/>
          <w:numId w:val="19"/>
        </w:numPr>
        <w:tabs>
          <w:tab w:val="left" w:pos="709"/>
        </w:tabs>
        <w:spacing w:before="120" w:after="0" w:line="30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</w:p>
    <w:p w14:paraId="012C7F46" w14:textId="77777777" w:rsidR="005A3588" w:rsidRPr="005A3588" w:rsidRDefault="005A3588" w:rsidP="008A105D">
      <w:pPr>
        <w:numPr>
          <w:ilvl w:val="1"/>
          <w:numId w:val="19"/>
        </w:numPr>
        <w:tabs>
          <w:tab w:val="left" w:pos="709"/>
        </w:tabs>
        <w:spacing w:before="120" w:after="0" w:line="30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8A105D">
      <w:pPr>
        <w:tabs>
          <w:tab w:val="left" w:pos="567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3606E8E8" w:rsidR="005A3588" w:rsidRDefault="005A3588" w:rsidP="008A105D">
      <w:pPr>
        <w:tabs>
          <w:tab w:val="left" w:pos="709"/>
        </w:tabs>
        <w:spacing w:before="120"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8A105D">
      <w:pPr>
        <w:spacing w:before="120" w:after="0" w:line="30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8A105D">
      <w:pPr>
        <w:tabs>
          <w:tab w:val="left" w:pos="851"/>
        </w:tabs>
        <w:spacing w:before="120" w:after="0" w:line="30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1F87B343" w:rsid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3CE34B3" w14:textId="77777777" w:rsidR="005A3588" w:rsidRPr="00957AB4" w:rsidRDefault="005A3588" w:rsidP="008A105D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0129662" w14:textId="4CAF89AE" w:rsidR="005A3588" w:rsidRDefault="005A3588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541BF77" w14:textId="77777777" w:rsidR="008A105D" w:rsidRDefault="008A105D" w:rsidP="008A105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pPr w:leftFromText="180" w:rightFromText="180" w:vertAnchor="text" w:tblpXSpec="right" w:tblpY="1"/>
        <w:tblOverlap w:val="never"/>
        <w:tblW w:w="9672" w:type="dxa"/>
        <w:tblLook w:val="00A0" w:firstRow="1" w:lastRow="0" w:firstColumn="1" w:lastColumn="0" w:noHBand="0" w:noVBand="0"/>
      </w:tblPr>
      <w:tblGrid>
        <w:gridCol w:w="4820"/>
        <w:gridCol w:w="4852"/>
      </w:tblGrid>
      <w:tr w:rsidR="008A105D" w:rsidRPr="00F72F5C" w14:paraId="7AD58BAE" w14:textId="77777777" w:rsidTr="004411B2">
        <w:trPr>
          <w:cantSplit/>
          <w:trHeight w:val="3975"/>
        </w:trPr>
        <w:tc>
          <w:tcPr>
            <w:tcW w:w="4820" w:type="dxa"/>
          </w:tcPr>
          <w:p w14:paraId="1A774865" w14:textId="77777777" w:rsidR="008A105D" w:rsidRPr="00F72F5C" w:rsidRDefault="008A105D" w:rsidP="004411B2">
            <w:pPr>
              <w:pStyle w:val="afa"/>
              <w:ind w:left="900"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852" w:type="dxa"/>
          </w:tcPr>
          <w:p w14:paraId="6D20FE77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5CF08C7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290835A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4D0BCAFE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58774E0F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Юридический и почтовый адрес: 664003, Российская Федерация, Иркутская область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г.Иркутск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, ул. Тимирязева, строение 4</w:t>
            </w:r>
          </w:p>
          <w:p w14:paraId="73FA82D7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C7A79CC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Почтовый адрес филиала: 665709, г. Братск, Иркутской области, а/я 784</w:t>
            </w:r>
          </w:p>
          <w:p w14:paraId="319F8584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4FD1DCEA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4114CD2E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56104530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493B165B" w14:textId="77777777" w:rsidR="008A105D" w:rsidRPr="00F72F5C" w:rsidRDefault="008A105D" w:rsidP="004411B2">
            <w:pPr>
              <w:pStyle w:val="afa"/>
              <w:ind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8A105D" w:rsidRPr="00F72F5C" w14:paraId="353F714F" w14:textId="77777777" w:rsidTr="004411B2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4820" w:type="dxa"/>
          </w:tcPr>
          <w:p w14:paraId="6D5C7E41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64811F" w14:textId="77777777" w:rsidR="008A105D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BA3F53" w14:textId="77777777" w:rsidR="008A105D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1C54C7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ED396D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02C0C9FE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11BC03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78669568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127EB138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1615D54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2F462AE5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E862B1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3B1EEF6D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D3FB3F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5B5A60C6" w14:textId="77777777" w:rsidR="008A105D" w:rsidRPr="00F72F5C" w:rsidRDefault="008A105D" w:rsidP="004411B2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0C61A0E5" w14:textId="77777777" w:rsidR="005A3588" w:rsidRP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5A3588">
          <w:headerReference w:type="default" r:id="rId13"/>
          <w:footerReference w:type="default" r:id="rId14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7359E31E" w14:textId="77777777" w:rsidR="00702A2D" w:rsidRDefault="0041703F" w:rsidP="00702A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</w:t>
      </w:r>
      <w:r w:rsidR="005A3588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 Приложение № 1</w:t>
      </w:r>
      <w:r w:rsid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1</w:t>
      </w:r>
    </w:p>
    <w:p w14:paraId="7E000E06" w14:textId="32A80879" w:rsidR="005A3588" w:rsidRPr="005A3588" w:rsidRDefault="005A3588" w:rsidP="00702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6326F32A" w14:textId="05045C5B" w:rsidR="005A3588" w:rsidRPr="005A3588" w:rsidRDefault="005A3588" w:rsidP="005A358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</w:t>
      </w:r>
      <w:r w:rsidR="00702A2D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684B7D2E" w14:textId="77777777" w:rsidR="005A3588" w:rsidRPr="005A3588" w:rsidRDefault="005A3588" w:rsidP="005A3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30E2F45" w14:textId="3D7D32A1" w:rsidR="005A3588" w:rsidRPr="005A3588" w:rsidRDefault="005921E8" w:rsidP="005921E8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49D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0749D3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«ЕвроСибЭнерго-Гидрогенерация» «Братская ГЭС» </w:t>
      </w:r>
      <w:r w:rsidRPr="000749D3">
        <w:rPr>
          <w:rFonts w:ascii="Times New Roman" w:hAnsi="Times New Roman" w:cs="Times New Roman"/>
          <w:b/>
          <w:sz w:val="22"/>
          <w:szCs w:val="22"/>
        </w:rPr>
        <w:t>Стрелкова Евгения Владимировича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действующего (-ей) </w:t>
      </w:r>
      <w:r w:rsidRPr="000749D3">
        <w:rPr>
          <w:rFonts w:ascii="Times New Roman" w:hAnsi="Times New Roman" w:cs="Times New Roman"/>
          <w:sz w:val="22"/>
          <w:szCs w:val="22"/>
        </w:rPr>
        <w:t>на основании доверенности от 01.12.2020 № 72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</w:t>
      </w:r>
      <w:r w:rsidR="005A3588" w:rsidRPr="005A3588">
        <w:rPr>
          <w:rFonts w:ascii="Times New Roman" w:eastAsia="Times New Roman" w:hAnsi="Times New Roman" w:cs="Times New Roman"/>
          <w:sz w:val="22"/>
          <w:szCs w:val="22"/>
        </w:rPr>
        <w:t>, и</w:t>
      </w:r>
    </w:p>
    <w:p w14:paraId="42383093" w14:textId="77777777" w:rsidR="005A3588" w:rsidRPr="005A3588" w:rsidRDefault="005A3588" w:rsidP="005A358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00AC4E53" w14:textId="385B7E7B" w:rsidR="005A3588" w:rsidRPr="005A3588" w:rsidRDefault="005A3588" w:rsidP="005A358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</w:t>
      </w:r>
      <w:r w:rsidR="005921E8">
        <w:rPr>
          <w:rFonts w:ascii="Times New Roman" w:eastAsia="Times New Roman" w:hAnsi="Times New Roman" w:cs="Times New Roman"/>
          <w:spacing w:val="4"/>
          <w:sz w:val="22"/>
          <w:szCs w:val="22"/>
        </w:rPr>
        <w:t>проектные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работы № </w:t>
      </w:r>
      <w:r w:rsidR="005921E8">
        <w:rPr>
          <w:rFonts w:ascii="Times New Roman" w:eastAsia="Times New Roman" w:hAnsi="Times New Roman" w:cs="Times New Roman"/>
          <w:spacing w:val="4"/>
          <w:sz w:val="22"/>
          <w:szCs w:val="22"/>
        </w:rPr>
        <w:t>00</w:t>
      </w:r>
      <w:r w:rsidR="0075024C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bookmarkStart w:id="13" w:name="_GoBack"/>
      <w:bookmarkEnd w:id="13"/>
      <w:r w:rsidR="005921E8">
        <w:rPr>
          <w:rFonts w:ascii="Times New Roman" w:eastAsia="Times New Roman" w:hAnsi="Times New Roman" w:cs="Times New Roman"/>
          <w:spacing w:val="4"/>
          <w:sz w:val="22"/>
          <w:szCs w:val="22"/>
        </w:rPr>
        <w:t>/02/2022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5921E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2021г.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D456E3D" w14:textId="77777777" w:rsidR="005A3588" w:rsidRPr="005A3588" w:rsidRDefault="005A3588" w:rsidP="005A358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BA2FAD2" w14:textId="77777777" w:rsidR="005A3588" w:rsidRPr="005A3588" w:rsidRDefault="005A3588" w:rsidP="005A358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67D1571" w14:textId="587968E9" w:rsidR="005A3588" w:rsidRPr="005A3588" w:rsidRDefault="00801E18" w:rsidP="00801E1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5A3588"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5A3588"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="005A358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17AC7103" w14:textId="77777777" w:rsidR="005A3588" w:rsidRPr="005A3588" w:rsidRDefault="005A3588" w:rsidP="005A358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D783537" w14:textId="25851142" w:rsidR="005A3588" w:rsidRPr="00957AB4" w:rsidRDefault="005A3588" w:rsidP="005A358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4411B2">
        <w:rPr>
          <w:rFonts w:ascii="Times New Roman" w:hAnsi="Times New Roman" w:cs="Times New Roman"/>
          <w:i/>
          <w:sz w:val="22"/>
          <w:szCs w:val="22"/>
        </w:rPr>
        <w:t xml:space="preserve"> </w:t>
      </w:r>
      <w:hyperlink r:id="rId15" w:history="1">
        <w:r w:rsidR="004411B2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179E5081" w14:textId="77777777" w:rsidR="005A3588" w:rsidRPr="00957AB4" w:rsidRDefault="005A3588" w:rsidP="005A358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F833051" w14:textId="421F9D6C" w:rsidR="005A3588" w:rsidRPr="005A3588" w:rsidRDefault="005A3588" w:rsidP="005A358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</w:t>
      </w:r>
      <w:r w:rsidR="00923739" w:rsidRPr="00957AB4">
        <w:rPr>
          <w:rFonts w:ascii="Times New Roman" w:eastAsia="Times New Roman" w:hAnsi="Times New Roman" w:cs="Times New Roman"/>
          <w:sz w:val="22"/>
          <w:szCs w:val="22"/>
        </w:rPr>
        <w:t xml:space="preserve">дусмотренном пунктом 24.4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14:paraId="56E169E4" w14:textId="77777777" w:rsidR="005A3588" w:rsidRPr="005A3588" w:rsidRDefault="005A3588" w:rsidP="005A358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0A8413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1D9EE2F" w14:textId="77777777" w:rsidR="005A3588" w:rsidRPr="005A3588" w:rsidRDefault="005A3588" w:rsidP="005A358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09364CE" w14:textId="77777777" w:rsidR="005A3588" w:rsidRPr="005A3588" w:rsidRDefault="005A3588" w:rsidP="005921E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18F03AF" w14:textId="77777777" w:rsidR="005A3588" w:rsidRPr="005A3588" w:rsidRDefault="005A3588" w:rsidP="005921E8">
      <w:pPr>
        <w:tabs>
          <w:tab w:val="left" w:pos="9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68D2A0A" w14:textId="77777777" w:rsidR="005A3588" w:rsidRPr="005A3588" w:rsidRDefault="005A3588" w:rsidP="005921E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09296D4" w14:textId="3D87DFB9" w:rsidR="005A3588" w:rsidRPr="005A3588" w:rsidRDefault="005A3588" w:rsidP="005921E8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течение </w:t>
      </w:r>
      <w:r w:rsidR="005921E8">
        <w:rPr>
          <w:rFonts w:ascii="Times New Roman" w:eastAsia="Times New Roman" w:hAnsi="Times New Roman" w:cs="Times New Roman"/>
          <w:iCs/>
          <w:sz w:val="22"/>
          <w:szCs w:val="22"/>
        </w:rPr>
        <w:t>3 (трёх)</w:t>
      </w:r>
      <w:r w:rsidRPr="005A3588">
        <w:rPr>
          <w:rFonts w:ascii="Times New Roman" w:eastAsia="Times New Roman" w:hAnsi="Times New Roman" w:cs="Times New Roman"/>
          <w:iCs/>
          <w:sz w:val="22"/>
          <w:szCs w:val="22"/>
        </w:rPr>
        <w:t xml:space="preserve"> дней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предоставить следующие сведения о персонале:</w:t>
      </w:r>
    </w:p>
    <w:p w14:paraId="62B10AA5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CF24EA8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C06065" w14:textId="77777777" w:rsidR="005A3588" w:rsidRPr="005A3588" w:rsidRDefault="005A3588" w:rsidP="005921E8">
      <w:pPr>
        <w:widowControl w:val="0"/>
        <w:numPr>
          <w:ilvl w:val="2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0D3EC29C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BC8BD3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B4CFD7C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63A56419" w14:textId="77777777" w:rsidR="005A3588" w:rsidRPr="005A3588" w:rsidRDefault="005A3588" w:rsidP="005A358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FDFC0E" w14:textId="77777777" w:rsidR="005A3588" w:rsidRPr="005A3588" w:rsidRDefault="005A3588" w:rsidP="005A358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5CBB9148" w14:textId="77777777" w:rsidR="005A3588" w:rsidRPr="005A3588" w:rsidRDefault="005A3588" w:rsidP="005A358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2C15C16" w14:textId="77777777" w:rsidR="005A3588" w:rsidRPr="005A3588" w:rsidRDefault="005A3588" w:rsidP="005A3588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EF6852A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25F9FE9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98666AB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241D6A5E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7866421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9BC0083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C6C4FBF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423C2808" w14:textId="77777777" w:rsidR="005A3588" w:rsidRPr="005A3588" w:rsidRDefault="005A3588" w:rsidP="005A3588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18D885FD" w14:textId="77777777" w:rsidR="005A3588" w:rsidRPr="005A3588" w:rsidRDefault="005A3588" w:rsidP="005A358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799D7FF" w14:textId="77777777" w:rsidR="0041703F" w:rsidRPr="0041703F" w:rsidRDefault="0041703F" w:rsidP="0041703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3FFF740" w14:textId="77777777" w:rsidR="0041703F" w:rsidRPr="0041703F" w:rsidRDefault="0041703F" w:rsidP="0041703F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DBD3321" w14:textId="77777777" w:rsidR="0041703F" w:rsidRPr="0041703F" w:rsidRDefault="0041703F" w:rsidP="0041703F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E5F73DF" w14:textId="77777777" w:rsidR="0041703F" w:rsidRPr="0041703F" w:rsidRDefault="0041703F" w:rsidP="0041703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EED07A8" w14:textId="77777777" w:rsidR="0041703F" w:rsidRPr="0041703F" w:rsidRDefault="0041703F" w:rsidP="0041703F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96D2498" w14:textId="77777777" w:rsidR="005921E8" w:rsidRPr="00957AB4" w:rsidRDefault="0041703F" w:rsidP="005921E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</w:t>
      </w:r>
      <w:hyperlink r:id="rId16" w:history="1">
        <w:r w:rsidR="005921E8" w:rsidRPr="00F876B8">
          <w:rPr>
            <w:rStyle w:val="ad"/>
            <w:rFonts w:ascii="Times New Roman" w:hAnsi="Times New Roman" w:cs="Times New Roman"/>
            <w:i/>
            <w:sz w:val="22"/>
            <w:szCs w:val="22"/>
          </w:rPr>
          <w:t>https://eurosib.ru/ru/tenders/zakupki-ooo-evrosibenergo-gidrogeneratsiya/standarty-predpriyatiya</w:t>
        </w:r>
      </w:hyperlink>
      <w:r w:rsidR="005921E8"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09F1A32A" w14:textId="77777777" w:rsidR="0041703F" w:rsidRPr="0041703F" w:rsidRDefault="0041703F" w:rsidP="0041703F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160D3B82" w14:textId="77777777" w:rsidR="0041703F" w:rsidRPr="0041703F" w:rsidRDefault="0041703F" w:rsidP="0041703F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ознакомить своих работников, а также работников Субподрядных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организаций, привлекаемых Подрядчиком, с требованиями настоящего Соглашения и ЛНА Заказчика в области АТБ.</w:t>
      </w:r>
    </w:p>
    <w:p w14:paraId="14B09503" w14:textId="77777777" w:rsidR="0041703F" w:rsidRPr="0041703F" w:rsidRDefault="0041703F" w:rsidP="0041703F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5516310" w14:textId="77777777" w:rsidR="0041703F" w:rsidRPr="0041703F" w:rsidRDefault="0041703F" w:rsidP="0041703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E5247E3" w14:textId="77777777" w:rsidR="0041703F" w:rsidRPr="0041703F" w:rsidRDefault="0041703F" w:rsidP="0041703F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8A33B3" w14:textId="77777777" w:rsidR="005A3588" w:rsidRPr="00B23412" w:rsidRDefault="005A3588" w:rsidP="005A358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CEE3510" w14:textId="77777777" w:rsidR="005A3588" w:rsidRPr="00B23412" w:rsidRDefault="005A3588" w:rsidP="005A358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9769B41" w14:textId="382B9644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="005921E8">
        <w:rPr>
          <w:rFonts w:ascii="Times New Roman" w:eastAsia="Times New Roman" w:hAnsi="Times New Roman" w:cs="Times New Roman"/>
          <w:sz w:val="22"/>
          <w:szCs w:val="22"/>
        </w:rPr>
        <w:t xml:space="preserve">форме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Акт</w:t>
      </w:r>
      <w:r w:rsidR="005921E8">
        <w:rPr>
          <w:rFonts w:ascii="Times New Roman" w:eastAsia="Times New Roman" w:hAnsi="Times New Roman" w:cs="Times New Roman"/>
          <w:sz w:val="22"/>
          <w:szCs w:val="22"/>
        </w:rPr>
        <w:t>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проверки</w:t>
      </w:r>
      <w:r w:rsidR="005921E8">
        <w:rPr>
          <w:rFonts w:ascii="Times New Roman" w:eastAsia="Times New Roman" w:hAnsi="Times New Roman" w:cs="Times New Roman"/>
          <w:sz w:val="22"/>
          <w:szCs w:val="22"/>
        </w:rPr>
        <w:t xml:space="preserve"> (в соответствии с действующими регламентами и инструкциями Общества)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Акт проверки оформляется в порядке, предусмотренном Разделом 7 настоящего Соглашения. </w:t>
      </w:r>
    </w:p>
    <w:p w14:paraId="262ECA95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C1E71EB" w14:textId="5491BAFD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B23412" w:rsidRPr="00B23412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70542A0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FD9D083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2210A01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889AF16" w14:textId="23E7E0CB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B23412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50EE064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C350D8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013340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1814B7" w14:textId="77777777" w:rsidR="005A3588" w:rsidRPr="00B23412" w:rsidRDefault="005A3588" w:rsidP="005A358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9DF6AB4" w14:textId="77777777" w:rsidR="005A3588" w:rsidRPr="00B23412" w:rsidRDefault="005A3588" w:rsidP="005A3588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B0D3408" w14:textId="53D337D9" w:rsidR="005A3588" w:rsidRPr="00B23412" w:rsidRDefault="005A3588" w:rsidP="005A3588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</w:t>
      </w:r>
      <w:r w:rsidR="005921E8">
        <w:rPr>
          <w:rFonts w:ascii="Times New Roman" w:eastAsia="Times New Roman" w:hAnsi="Times New Roman" w:cs="Times New Roman"/>
          <w:sz w:val="22"/>
          <w:szCs w:val="22"/>
        </w:rPr>
        <w:t>ий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</w:p>
    <w:p w14:paraId="44922366" w14:textId="77777777" w:rsidR="005A3588" w:rsidRPr="00B23412" w:rsidRDefault="005A3588" w:rsidP="005A3588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564C9B6" w14:textId="77777777" w:rsidR="005A3588" w:rsidRPr="00B23412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69B13CB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535A4B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6BBB95A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C27DD2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261D01B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D798E73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B5AA852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FF823C3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D80BEBC" w14:textId="77777777" w:rsidR="005A3588" w:rsidRPr="00923739" w:rsidRDefault="005A3588" w:rsidP="005A3588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F223CC4" w14:textId="77777777" w:rsidR="005A3588" w:rsidRPr="00923739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F81F874" w14:textId="77777777" w:rsidR="005A3588" w:rsidRPr="00923739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255E64" w14:textId="77777777" w:rsidR="005A3588" w:rsidRPr="00923739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CA32407" w14:textId="227FAFB2" w:rsidR="005A3588" w:rsidRPr="00923739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указанных в Разделе 7 Приложения № 1</w:t>
      </w:r>
      <w:r w:rsidR="00923739" w:rsidRPr="00923739">
        <w:rPr>
          <w:rFonts w:ascii="Times New Roman" w:eastAsia="Times New Roman" w:hAnsi="Times New Roman" w:cs="Times New Roman"/>
          <w:sz w:val="22"/>
          <w:szCs w:val="22"/>
        </w:rPr>
        <w:t xml:space="preserve">0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9AA0A7F" w14:textId="77777777" w:rsidR="005A3588" w:rsidRPr="00923739" w:rsidRDefault="005A3588" w:rsidP="005A3588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6B2C0D" w14:textId="77777777" w:rsidR="005A3588" w:rsidRPr="00923739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A85DEE4" w14:textId="77777777" w:rsidR="005A3588" w:rsidRPr="00923739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F58995A" w14:textId="77777777" w:rsidR="005A3588" w:rsidRPr="00923739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50002D6" w14:textId="77777777" w:rsidR="005A3588" w:rsidRPr="00923739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79B038" w14:textId="77777777" w:rsidR="005A3588" w:rsidRPr="00923739" w:rsidRDefault="005A3588" w:rsidP="005A3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736A446F" w14:textId="087F5750" w:rsidR="005A3588" w:rsidRDefault="005A3588" w:rsidP="005A3588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1845482B" w14:textId="608BA7A2" w:rsidR="007D1CF1" w:rsidRDefault="007D1CF1" w:rsidP="007D1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672" w:type="dxa"/>
        <w:tblLook w:val="00A0" w:firstRow="1" w:lastRow="0" w:firstColumn="1" w:lastColumn="0" w:noHBand="0" w:noVBand="0"/>
      </w:tblPr>
      <w:tblGrid>
        <w:gridCol w:w="4820"/>
        <w:gridCol w:w="4852"/>
      </w:tblGrid>
      <w:tr w:rsidR="007D1CF1" w:rsidRPr="00F72F5C" w14:paraId="0D28E52E" w14:textId="77777777" w:rsidTr="00E9665B">
        <w:trPr>
          <w:cantSplit/>
          <w:trHeight w:val="3975"/>
        </w:trPr>
        <w:tc>
          <w:tcPr>
            <w:tcW w:w="4820" w:type="dxa"/>
          </w:tcPr>
          <w:p w14:paraId="6074EEB2" w14:textId="77777777" w:rsidR="007D1CF1" w:rsidRPr="00D36A7B" w:rsidRDefault="007D1CF1" w:rsidP="00E9665B">
            <w:pPr>
              <w:pStyle w:val="afa"/>
              <w:ind w:left="37" w:right="-2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D36A7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</w:tc>
        <w:tc>
          <w:tcPr>
            <w:tcW w:w="4852" w:type="dxa"/>
          </w:tcPr>
          <w:p w14:paraId="00F6081F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A23E7D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0442836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31C78D17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4F7C6D4B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Юридический и почтовый адрес: 664003, Российская Федерация, Иркутская область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г.Иркутск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, ул. Тимирязева, строение 4</w:t>
            </w:r>
          </w:p>
          <w:p w14:paraId="7379AA17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D7F1803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Почтовый адрес филиала: 665709, г. Братск, Иркутской области, а/я 784</w:t>
            </w:r>
          </w:p>
          <w:p w14:paraId="2FC8F50C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4B6D8B8D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448F70EC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4DEBD943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6BFABCC6" w14:textId="77777777" w:rsidR="007D1CF1" w:rsidRPr="00F72F5C" w:rsidRDefault="007D1CF1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7D1CF1" w:rsidRPr="00F72F5C" w14:paraId="2553BCD6" w14:textId="77777777" w:rsidTr="00E9665B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4820" w:type="dxa"/>
          </w:tcPr>
          <w:p w14:paraId="74ECC2E4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9FD92F9" w14:textId="77777777" w:rsidR="007D1CF1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FC34E5" w14:textId="77777777" w:rsidR="007D1CF1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861840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5D07AC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33FC22B5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CC4FB2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3B1A469E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7A13E50D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84712C4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09A7CA8A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11C1BD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15422C94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B4F718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07781895" w14:textId="77777777" w:rsidR="007D1CF1" w:rsidRPr="00F72F5C" w:rsidRDefault="007D1CF1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68AAD727" w14:textId="77777777" w:rsidR="007D1CF1" w:rsidRPr="00923739" w:rsidRDefault="007D1CF1" w:rsidP="007D1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ED04C56" w14:textId="77777777" w:rsidR="005A3588" w:rsidRPr="00923739" w:rsidRDefault="005A3588" w:rsidP="005A3588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9A7907B" w14:textId="4074C1C4" w:rsidR="000D09F8" w:rsidRPr="00923739" w:rsidRDefault="000D09F8" w:rsidP="005A3588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6C5E9B38" w14:textId="77777777" w:rsidR="00207EF0" w:rsidRPr="00923739" w:rsidRDefault="00207EF0" w:rsidP="0080728B">
      <w:pPr>
        <w:widowControl w:val="0"/>
        <w:rPr>
          <w:rFonts w:ascii="Times New Roman" w:hAnsi="Times New Roman" w:cs="Times New Roman"/>
          <w:b/>
          <w:i/>
          <w:sz w:val="22"/>
          <w:szCs w:val="22"/>
        </w:rPr>
        <w:sectPr w:rsidR="00207EF0" w:rsidRPr="00923739" w:rsidSect="00E1145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CC41E1A" w14:textId="77777777" w:rsidR="009E26A8" w:rsidRDefault="004A2C61" w:rsidP="009E26A8">
      <w:pPr>
        <w:suppressAutoHyphens/>
        <w:autoSpaceDE w:val="0"/>
        <w:spacing w:before="12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lastRenderedPageBreak/>
        <w:t>Приложение №</w:t>
      </w: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val="en-US" w:eastAsia="ar-SA"/>
        </w:rPr>
        <w:t> </w:t>
      </w:r>
      <w:r w:rsidRP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1</w:t>
      </w:r>
      <w:r w:rsid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3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</w:t>
      </w:r>
    </w:p>
    <w:p w14:paraId="517A87CD" w14:textId="0D3C48DE" w:rsidR="009E26A8" w:rsidRDefault="004A2C61" w:rsidP="009E26A8">
      <w:pPr>
        <w:suppressAutoHyphens/>
        <w:autoSpaceDE w:val="0"/>
        <w:spacing w:before="12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к договору </w:t>
      </w:r>
      <w:r w:rsidR="00F4447D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подряда на выполнение проектных рабо</w:t>
      </w:r>
      <w:r w:rsidR="009E26A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т</w:t>
      </w:r>
    </w:p>
    <w:p w14:paraId="4F97884E" w14:textId="2B0F66A0" w:rsidR="004A2C61" w:rsidRDefault="009E26A8" w:rsidP="009E26A8">
      <w:pPr>
        <w:suppressAutoHyphens/>
        <w:autoSpaceDE w:val="0"/>
        <w:spacing w:before="12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о</w:t>
      </w:r>
      <w:r w:rsid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т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«___» ______</w:t>
      </w:r>
      <w:r w:rsid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____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2021г. </w:t>
      </w:r>
      <w:r w:rsidR="004A2C61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>002/02/2022</w:t>
      </w:r>
    </w:p>
    <w:p w14:paraId="31CFE428" w14:textId="77777777" w:rsidR="004A2C61" w:rsidRDefault="004A2C61" w:rsidP="004A2C61">
      <w:pPr>
        <w:suppressAutoHyphens/>
        <w:autoSpaceDE w:val="0"/>
        <w:spacing w:before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highlight w:val="green"/>
        </w:rPr>
      </w:pPr>
    </w:p>
    <w:p w14:paraId="05D6028E" w14:textId="71BB198B" w:rsidR="004A2C61" w:rsidRPr="009E26A8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E26A8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7E2CBCB3" w14:textId="77777777" w:rsidR="004A2C61" w:rsidRPr="009E26A8" w:rsidRDefault="004A2C61" w:rsidP="004A2C61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sz w:val="28"/>
          <w:szCs w:val="28"/>
        </w:rPr>
      </w:pPr>
    </w:p>
    <w:p w14:paraId="15502B4C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4" w:name="_Toc61878704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Общие положения</w:t>
      </w:r>
      <w:bookmarkEnd w:id="14"/>
    </w:p>
    <w:p w14:paraId="3F99B749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5" w:name="_Toc61878705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Термины и определения</w:t>
      </w:r>
      <w:bookmarkEnd w:id="15"/>
    </w:p>
    <w:p w14:paraId="6DC36065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4A2C61" w:rsidRPr="009E26A8" w14:paraId="188492BD" w14:textId="77777777" w:rsidTr="006C3BAB">
        <w:tc>
          <w:tcPr>
            <w:tcW w:w="319" w:type="pct"/>
          </w:tcPr>
          <w:p w14:paraId="7B55FD45" w14:textId="77777777" w:rsidR="004A2C61" w:rsidRPr="009E26A8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Термин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B9DDF2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proofErr w:type="spellEnd"/>
          </w:p>
        </w:tc>
      </w:tr>
      <w:tr w:rsidR="004A2C61" w:rsidRPr="009E26A8" w14:paraId="73CA4F44" w14:textId="77777777" w:rsidTr="006C3BAB">
        <w:tc>
          <w:tcPr>
            <w:tcW w:w="319" w:type="pct"/>
          </w:tcPr>
          <w:p w14:paraId="30FE2006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201F44F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6AA5C02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4A2C61" w:rsidRPr="009E26A8" w14:paraId="0983EADF" w14:textId="77777777" w:rsidTr="006C3BAB">
        <w:tc>
          <w:tcPr>
            <w:tcW w:w="319" w:type="pct"/>
          </w:tcPr>
          <w:p w14:paraId="334FEA80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Менеджмент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15200C4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МКООО «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Эн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Холдинг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» и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A2C61" w:rsidRPr="009E26A8" w14:paraId="1B4AA8D4" w14:textId="77777777" w:rsidTr="006C3BAB">
        <w:tc>
          <w:tcPr>
            <w:tcW w:w="319" w:type="pct"/>
          </w:tcPr>
          <w:p w14:paraId="24D60FC8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432829E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4A2C61" w:rsidRPr="009E26A8" w14:paraId="57AC1916" w14:textId="77777777" w:rsidTr="006C3BAB">
        <w:tc>
          <w:tcPr>
            <w:tcW w:w="319" w:type="pct"/>
          </w:tcPr>
          <w:p w14:paraId="1A3B848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4A2C61" w:rsidRPr="009E26A8" w14:paraId="29B4498D" w14:textId="77777777" w:rsidTr="006C3BAB">
        <w:tc>
          <w:tcPr>
            <w:tcW w:w="319" w:type="pct"/>
          </w:tcPr>
          <w:p w14:paraId="004B3571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 xml:space="preserve">Финансовый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4A2C61" w:rsidRPr="009E26A8" w14:paraId="489D08F9" w14:textId="77777777" w:rsidTr="006C3BAB">
        <w:tc>
          <w:tcPr>
            <w:tcW w:w="319" w:type="pct"/>
          </w:tcPr>
          <w:p w14:paraId="04765E33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7B07F2DA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4A2C61" w:rsidRPr="009E26A8" w14:paraId="2D756213" w14:textId="77777777" w:rsidTr="006C3BAB">
        <w:tc>
          <w:tcPr>
            <w:tcW w:w="319" w:type="pct"/>
          </w:tcPr>
          <w:p w14:paraId="4B6E222E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47C6B75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4A2C61" w:rsidRPr="009E26A8" w14:paraId="7C985556" w14:textId="77777777" w:rsidTr="006C3BAB">
        <w:tc>
          <w:tcPr>
            <w:tcW w:w="319" w:type="pct"/>
          </w:tcPr>
          <w:p w14:paraId="0B402CF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771BB26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4A2C61" w:rsidRPr="009E26A8" w14:paraId="0737FD70" w14:textId="77777777" w:rsidTr="006C3BAB">
        <w:tc>
          <w:tcPr>
            <w:tcW w:w="319" w:type="pct"/>
          </w:tcPr>
          <w:p w14:paraId="7B0EB35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6FCF8541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4A2C61" w:rsidRPr="009E26A8" w14:paraId="44255D91" w14:textId="77777777" w:rsidTr="006C3BAB">
        <w:tc>
          <w:tcPr>
            <w:tcW w:w="319" w:type="pct"/>
          </w:tcPr>
          <w:p w14:paraId="0A0257AE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3939888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4A2C61" w:rsidRPr="009E26A8" w14:paraId="627C906E" w14:textId="77777777" w:rsidTr="006C3BAB">
        <w:tc>
          <w:tcPr>
            <w:tcW w:w="319" w:type="pct"/>
          </w:tcPr>
          <w:p w14:paraId="688369CD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sz w:val="24"/>
                <w:szCs w:val="24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F9B439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4A2C61" w:rsidRPr="009E26A8" w14:paraId="6B90D6DA" w14:textId="77777777" w:rsidTr="006C3BAB">
        <w:tc>
          <w:tcPr>
            <w:tcW w:w="319" w:type="pct"/>
          </w:tcPr>
          <w:p w14:paraId="5FBDBBF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9E26A8">
              <w:rPr>
                <w:rFonts w:ascii="Times New Roman" w:hAnsi="Times New Roman"/>
                <w:b/>
                <w:sz w:val="24"/>
                <w:szCs w:val="24"/>
              </w:rPr>
              <w:t>LTI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26A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определяется без учета травм, повлекших смерть пострадавшего.</w:t>
            </w:r>
          </w:p>
        </w:tc>
      </w:tr>
      <w:tr w:rsidR="004A2C61" w:rsidRPr="009E26A8" w14:paraId="63F0473F" w14:textId="77777777" w:rsidTr="006C3BAB">
        <w:tc>
          <w:tcPr>
            <w:tcW w:w="319" w:type="pct"/>
          </w:tcPr>
          <w:p w14:paraId="2E8F655A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4A2C61" w:rsidRPr="009E26A8" w14:paraId="629B1F9B" w14:textId="77777777" w:rsidTr="006C3BAB">
        <w:tc>
          <w:tcPr>
            <w:tcW w:w="319" w:type="pct"/>
          </w:tcPr>
          <w:p w14:paraId="13EA2AD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 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 = (LTI+F)/ФЧЧ</w:t>
            </w:r>
            <w:r w:rsidRPr="009E26A8"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sz w:val="24"/>
                <w:szCs w:val="24"/>
              </w:rPr>
              <w:t>200000</w:t>
            </w:r>
          </w:p>
        </w:tc>
      </w:tr>
      <w:tr w:rsidR="004A2C61" w:rsidRPr="009E26A8" w14:paraId="60996142" w14:textId="77777777" w:rsidTr="006C3BAB">
        <w:tc>
          <w:tcPr>
            <w:tcW w:w="319" w:type="pct"/>
          </w:tcPr>
          <w:p w14:paraId="74185DD0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9" w:type="pct"/>
          </w:tcPr>
          <w:p w14:paraId="65D3F2F7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Плановый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4A2C61" w:rsidRPr="009E26A8" w14:paraId="6CAD6E95" w14:textId="77777777" w:rsidTr="006C3BAB">
        <w:tc>
          <w:tcPr>
            <w:tcW w:w="319" w:type="pct"/>
          </w:tcPr>
          <w:p w14:paraId="77350873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A8">
              <w:rPr>
                <w:rFonts w:ascii="Times New Roman" w:hAnsi="Times New Roman"/>
                <w:sz w:val="24"/>
                <w:szCs w:val="24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Плановый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4A2C61" w:rsidRPr="009E26A8" w14:paraId="279A9973" w14:textId="77777777" w:rsidTr="006C3BAB">
        <w:tc>
          <w:tcPr>
            <w:tcW w:w="319" w:type="pct"/>
          </w:tcPr>
          <w:p w14:paraId="5478477C" w14:textId="77777777" w:rsidR="004A2C61" w:rsidRPr="009E26A8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6" w:name="_Toc61878706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Планирование</w:t>
      </w:r>
      <w:bookmarkEnd w:id="16"/>
    </w:p>
    <w:p w14:paraId="49881A9F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Энергетическому сегменту Группы</w:t>
      </w:r>
    </w:p>
    <w:p w14:paraId="057217AA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Плановый (целевой)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Группе в целом утверждается приказом по Группе.</w:t>
      </w:r>
    </w:p>
    <w:p w14:paraId="0502765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Бизнесам/Организациям</w:t>
      </w:r>
    </w:p>
    <w:p w14:paraId="006CF41E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A2C61" w:rsidRPr="009E26A8" w14:paraId="159EC7B5" w14:textId="77777777" w:rsidTr="006C3BAB">
        <w:tc>
          <w:tcPr>
            <w:tcW w:w="4672" w:type="dxa"/>
          </w:tcPr>
          <w:p w14:paraId="684A5D45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Бизнесов/Организаций, осуществляющих ежемесячную подготовку отчетности по охране труда (в 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Для Бизнесов/Организаций, осуществляющих ежеквартальную подготовку отчетности по охране труда (в 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п. 4.2.1 настоящей Методики)</w:t>
            </w:r>
          </w:p>
        </w:tc>
      </w:tr>
      <w:tr w:rsidR="004A2C61" w:rsidRPr="009E26A8" w14:paraId="744E4037" w14:textId="77777777" w:rsidTr="006C3BAB">
        <w:tc>
          <w:tcPr>
            <w:tcW w:w="4672" w:type="dxa"/>
          </w:tcPr>
          <w:p w14:paraId="0760232E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ФЧЧ_прогноз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12/11            (1)</w:t>
            </w:r>
          </w:p>
          <w:p w14:paraId="0E32469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4/3                 (2)</w:t>
            </w:r>
          </w:p>
          <w:p w14:paraId="1AF99823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где </w:t>
            </w:r>
            <w:proofErr w:type="spellStart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ФЧЧ_факт</w:t>
            </w:r>
            <w:proofErr w:type="spellEnd"/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0C67633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прогнозное значение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Организациям в году, предшествующему планируемому:</w:t>
      </w:r>
    </w:p>
    <w:p w14:paraId="08B17240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_прогноз = (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_факт +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_факт)/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E26A8">
        <w:rPr>
          <w:rFonts w:ascii="Times New Roman" w:eastAsia="Times New Roman" w:hAnsi="Times New Roman" w:cs="Times New Roman"/>
          <w:b/>
          <w:i/>
        </w:rPr>
        <w:sym w:font="Symbol" w:char="F0D7"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200 000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(3)</w:t>
      </w:r>
    </w:p>
    <w:p w14:paraId="1A78AE22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_факт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фактическое количество зафиксированных ДОТ случаев </w:t>
      </w:r>
      <w:r w:rsidRPr="009E26A8">
        <w:rPr>
          <w:rFonts w:ascii="Times New Roman" w:eastAsia="Times New Roman" w:hAnsi="Times New Roman" w:cs="Times New Roman"/>
          <w:sz w:val="24"/>
          <w:szCs w:val="24"/>
          <w:lang w:val="en-US"/>
        </w:rPr>
        <w:t>LTI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E26A8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9E26A8">
        <w:rPr>
          <w:rFonts w:ascii="Times New Roman" w:eastAsia="Times New Roman" w:hAnsi="Times New Roman" w:cs="Times New Roman"/>
          <w:sz w:val="24"/>
          <w:szCs w:val="24"/>
        </w:rPr>
        <w:t xml:space="preserve"> на момент выполнения расчета.</w:t>
      </w:r>
    </w:p>
    <w:p w14:paraId="22BD20A0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Определяется плановое значение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следующий год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4A2C61" w:rsidRPr="009E26A8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_план_1)</w:t>
            </w:r>
          </w:p>
        </w:tc>
      </w:tr>
      <w:tr w:rsidR="004A2C61" w:rsidRPr="009E26A8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_прогноз &lt;= 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9E26A8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9E26A8">
              <w:rPr>
                <w:rFonts w:ascii="Times New Roman" w:hAnsi="Times New Roman"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_прогноз &gt; 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</w:t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_план_1</w:t>
            </w:r>
            <w:r w:rsidRPr="009E26A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4A2C61" w:rsidRPr="009E26A8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9E26A8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LTIFR_план_2 =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LTIFR_прогноз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sym w:font="Symbol" w:char="F0D7"/>
            </w: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9E26A8" w:rsidRDefault="004A2C61" w:rsidP="004A2C61">
            <w:pPr>
              <w:spacing w:before="60" w:after="6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LTIFR_план_2 = LTIFR_план_1     (5)</w:t>
            </w:r>
          </w:p>
        </w:tc>
      </w:tr>
    </w:tbl>
    <w:p w14:paraId="10F1E064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_биз_2:</w:t>
      </w:r>
    </w:p>
    <w:p w14:paraId="2A3A2250" w14:textId="77777777" w:rsidR="004A2C61" w:rsidRPr="009E26A8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_биз_2 = </w:t>
      </w:r>
      <w:proofErr w:type="gram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∑(</w:t>
      </w:r>
      <w:proofErr w:type="gram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_план_2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)/ ∑(</w:t>
      </w:r>
      <w:proofErr w:type="spellStart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)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13432391" w14:textId="77777777" w:rsidR="004A2C61" w:rsidRPr="009E26A8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случае, если плановый показатель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9E26A8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7" w:name="_Toc61878707"/>
      <w:r w:rsidRPr="009E26A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Отчетность</w:t>
      </w:r>
      <w:bookmarkEnd w:id="17"/>
    </w:p>
    <w:p w14:paraId="7F666C9A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Энергетическому сегменту Группы</w:t>
      </w:r>
    </w:p>
    <w:p w14:paraId="17615984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расчет фактического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ДОТ выполняет расчет фактического показателя 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LTIFR</w:t>
      </w: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Группы в срок до 5 февраля года, следующего за отчетным.</w:t>
      </w:r>
    </w:p>
    <w:p w14:paraId="424F30EC" w14:textId="77777777" w:rsidR="004A2C61" w:rsidRPr="009E26A8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По Бизнесам/Организациям</w:t>
      </w:r>
    </w:p>
    <w:p w14:paraId="73149B5B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50"/>
        <w:gridCol w:w="1956"/>
        <w:gridCol w:w="3181"/>
        <w:gridCol w:w="3657"/>
      </w:tblGrid>
      <w:tr w:rsidR="004A2C61" w:rsidRPr="009E26A8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211428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4A2C61" w:rsidRPr="009E26A8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объем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ADBE1E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соответствии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3075AB0B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соответствии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табл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. 1</w:t>
            </w:r>
          </w:p>
        </w:tc>
      </w:tr>
      <w:tr w:rsidR="004A2C61" w:rsidRPr="009E26A8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Уровень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</w:t>
            </w:r>
            <w:proofErr w:type="spellEnd"/>
          </w:p>
        </w:tc>
      </w:tr>
      <w:tr w:rsidR="004A2C61" w:rsidRPr="009E26A8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Периодичность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2AD0EBE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2BF78E1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Ежеквартально</w:t>
            </w:r>
            <w:proofErr w:type="spellEnd"/>
          </w:p>
        </w:tc>
      </w:tr>
      <w:tr w:rsidR="004A2C61" w:rsidRPr="009E26A8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9E26A8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Порядок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542CF834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782"/>
        <w:gridCol w:w="1278"/>
        <w:gridCol w:w="1259"/>
        <w:gridCol w:w="1244"/>
        <w:gridCol w:w="1278"/>
        <w:gridCol w:w="1259"/>
        <w:gridCol w:w="1244"/>
      </w:tblGrid>
      <w:tr w:rsidR="004A2C61" w:rsidRPr="009E26A8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юр</w:t>
            </w:r>
            <w:proofErr w:type="spellEnd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Подрядчик</w:t>
            </w:r>
            <w:proofErr w:type="spellEnd"/>
          </w:p>
        </w:tc>
      </w:tr>
      <w:tr w:rsidR="004A2C61" w:rsidRPr="009E26A8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F</w:t>
            </w:r>
          </w:p>
        </w:tc>
      </w:tr>
      <w:tr w:rsidR="004A2C61" w:rsidRPr="009E26A8" w14:paraId="3E2D7F09" w14:textId="77777777" w:rsidTr="006C3BAB">
        <w:tc>
          <w:tcPr>
            <w:tcW w:w="1335" w:type="dxa"/>
          </w:tcPr>
          <w:p w14:paraId="552C8BF2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9E26A8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26A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</w:tc>
      </w:tr>
    </w:tbl>
    <w:p w14:paraId="726F4B51" w14:textId="77777777" w:rsidR="004A2C61" w:rsidRPr="009E26A8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2A95478" w14:textId="77777777" w:rsidR="004A2C61" w:rsidRPr="009E26A8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9E26A8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77777777" w:rsidR="004A2C61" w:rsidRPr="009E26A8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E26A8">
        <w:rPr>
          <w:rFonts w:ascii="Times New Roman" w:eastAsia="Times New Roman" w:hAnsi="Times New Roman" w:cs="Times New Roman"/>
          <w:b/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6C728E33" w14:textId="111913D0" w:rsidR="004A2C61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9672" w:type="dxa"/>
        <w:tblLook w:val="00A0" w:firstRow="1" w:lastRow="0" w:firstColumn="1" w:lastColumn="0" w:noHBand="0" w:noVBand="0"/>
      </w:tblPr>
      <w:tblGrid>
        <w:gridCol w:w="4820"/>
        <w:gridCol w:w="4852"/>
      </w:tblGrid>
      <w:tr w:rsidR="00E851FF" w:rsidRPr="00F72F5C" w14:paraId="0B517126" w14:textId="77777777" w:rsidTr="00E9665B">
        <w:trPr>
          <w:cantSplit/>
          <w:trHeight w:val="3975"/>
        </w:trPr>
        <w:tc>
          <w:tcPr>
            <w:tcW w:w="4820" w:type="dxa"/>
          </w:tcPr>
          <w:p w14:paraId="604386A2" w14:textId="77777777" w:rsidR="00E851FF" w:rsidRPr="00D36A7B" w:rsidRDefault="00E851FF" w:rsidP="00E9665B">
            <w:pPr>
              <w:pStyle w:val="afa"/>
              <w:ind w:left="37" w:right="-2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D36A7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</w:tc>
        <w:tc>
          <w:tcPr>
            <w:tcW w:w="4852" w:type="dxa"/>
          </w:tcPr>
          <w:p w14:paraId="1990EF70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83E5575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A614511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Общество с ограниченной ответственностью «ЕвроСибЭнерго-Гидрогенерация» </w:t>
            </w:r>
          </w:p>
          <w:p w14:paraId="40A375AB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(ООО «ЕвроСибЭнерго-Гидрогенерация»)</w:t>
            </w:r>
          </w:p>
          <w:p w14:paraId="59E5E874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Юридический и почтовый адрес: 664003, Российская Федерация, Иркутская область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г.Иркутск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, ул. Тимирязева, строение 4</w:t>
            </w:r>
          </w:p>
          <w:p w14:paraId="641380FB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B480B07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Почтовый адрес филиала: 665709, г. Братск, Иркутской области, а/я 784</w:t>
            </w:r>
          </w:p>
          <w:p w14:paraId="75DBF052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Тел.: 8(3953)323-359, факс: 323-367</w:t>
            </w:r>
          </w:p>
          <w:p w14:paraId="119F5F65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ИНН 3812142445 / КПП 997650001</w:t>
            </w:r>
          </w:p>
          <w:p w14:paraId="2A1B64DC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Р/с: 40702810200020000120 в ПАО Сбербанк г. Москва</w:t>
            </w:r>
          </w:p>
          <w:p w14:paraId="77F9041D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к/</w:t>
            </w:r>
            <w:proofErr w:type="spellStart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сч</w:t>
            </w:r>
            <w:proofErr w:type="spellEnd"/>
            <w:r w:rsidRPr="00F72F5C">
              <w:rPr>
                <w:rFonts w:ascii="Times New Roman" w:hAnsi="Times New Roman" w:cs="Times New Roman"/>
                <w:bCs/>
                <w:sz w:val="22"/>
                <w:szCs w:val="22"/>
              </w:rPr>
              <w:t>: 30101810400000000225 БИК: 044525225</w:t>
            </w:r>
          </w:p>
          <w:p w14:paraId="271FD595" w14:textId="77777777" w:rsidR="00E851FF" w:rsidRPr="00F72F5C" w:rsidRDefault="00E851FF" w:rsidP="00E9665B">
            <w:pPr>
              <w:pStyle w:val="afa"/>
              <w:ind w:right="-2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851FF" w:rsidRPr="00F72F5C" w14:paraId="10499EDF" w14:textId="77777777" w:rsidTr="00E9665B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4820" w:type="dxa"/>
          </w:tcPr>
          <w:p w14:paraId="4E6E853D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00FA451D" w14:textId="77777777" w:rsidR="00E851FF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3A15BF" w14:textId="77777777" w:rsidR="00E851FF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60FA4E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6F7756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1941FD2E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9A8682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2A26F6EE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33DBC9CD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1D97FF0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600DD215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415CCE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1F91F0E7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D38BE2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1AAA3F43" w14:textId="77777777" w:rsidR="00E851FF" w:rsidRPr="00F72F5C" w:rsidRDefault="00E851FF" w:rsidP="00E9665B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0A19DCF8" w14:textId="77777777" w:rsidR="00E851FF" w:rsidRPr="004A2C61" w:rsidRDefault="00E851FF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238BED38" w14:textId="77777777" w:rsidR="004A2C61" w:rsidRPr="004A2C61" w:rsidRDefault="004A2C61" w:rsidP="004A2C61"/>
    <w:sectPr w:rsidR="004A2C61" w:rsidRPr="004A2C61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6F2EC" w14:textId="77777777" w:rsidR="00EE0AC8" w:rsidRDefault="00EE0AC8" w:rsidP="00BF32C2">
      <w:r>
        <w:separator/>
      </w:r>
    </w:p>
  </w:endnote>
  <w:endnote w:type="continuationSeparator" w:id="0">
    <w:p w14:paraId="679D05AA" w14:textId="77777777" w:rsidR="00EE0AC8" w:rsidRDefault="00EE0AC8" w:rsidP="00BF32C2">
      <w:r>
        <w:continuationSeparator/>
      </w:r>
    </w:p>
  </w:endnote>
  <w:endnote w:type="continuationNotice" w:id="1">
    <w:p w14:paraId="2D5870DB" w14:textId="77777777" w:rsidR="00EE0AC8" w:rsidRDefault="00EE0A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99947BC" w:rsidR="004411B2" w:rsidRPr="00406C29" w:rsidRDefault="004411B2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75024C">
      <w:rPr>
        <w:rFonts w:ascii="Times New Roman" w:hAnsi="Times New Roman" w:cs="Times New Roman"/>
        <w:noProof/>
      </w:rPr>
      <w:t>24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1D0F1" w14:textId="77777777" w:rsidR="00EE0AC8" w:rsidRDefault="00EE0AC8" w:rsidP="00BF32C2">
      <w:r>
        <w:separator/>
      </w:r>
    </w:p>
  </w:footnote>
  <w:footnote w:type="continuationSeparator" w:id="0">
    <w:p w14:paraId="5945C863" w14:textId="77777777" w:rsidR="00EE0AC8" w:rsidRDefault="00EE0AC8" w:rsidP="00BF32C2">
      <w:r>
        <w:continuationSeparator/>
      </w:r>
    </w:p>
  </w:footnote>
  <w:footnote w:type="continuationNotice" w:id="1">
    <w:p w14:paraId="6918984B" w14:textId="77777777" w:rsidR="00EE0AC8" w:rsidRDefault="00EE0A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0428A0F8" w:rsidR="004411B2" w:rsidRPr="00406C29" w:rsidRDefault="004411B2" w:rsidP="00C620F1">
    <w:pPr>
      <w:pStyle w:val="ae"/>
      <w:jc w:val="center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выполнение проектных работ № </w:t>
    </w:r>
    <w:r>
      <w:rPr>
        <w:rFonts w:ascii="Times New Roman" w:hAnsi="Times New Roman" w:cs="Times New Roman"/>
        <w:i/>
      </w:rPr>
      <w:t>002/02/2022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«___» _________2021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4411B2" w:rsidRPr="00A74043" w:rsidRDefault="004411B2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59A8E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 w:numId="4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9D3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332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E673B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631C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616F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5D3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E6B8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1EEA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F30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2DED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42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1B2"/>
    <w:rsid w:val="004412AA"/>
    <w:rsid w:val="00441804"/>
    <w:rsid w:val="00441E07"/>
    <w:rsid w:val="0044243B"/>
    <w:rsid w:val="0044403E"/>
    <w:rsid w:val="00444195"/>
    <w:rsid w:val="00444549"/>
    <w:rsid w:val="00445885"/>
    <w:rsid w:val="004468E7"/>
    <w:rsid w:val="00451AD9"/>
    <w:rsid w:val="00452813"/>
    <w:rsid w:val="00452E8B"/>
    <w:rsid w:val="00454260"/>
    <w:rsid w:val="004550AD"/>
    <w:rsid w:val="00455B48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498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2AB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1E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D51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3D80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6FA5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0A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52A9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39D4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2A2D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2EDA"/>
    <w:rsid w:val="00723296"/>
    <w:rsid w:val="00723885"/>
    <w:rsid w:val="00723E51"/>
    <w:rsid w:val="007242BD"/>
    <w:rsid w:val="00725C8D"/>
    <w:rsid w:val="007267D1"/>
    <w:rsid w:val="007272CA"/>
    <w:rsid w:val="00727693"/>
    <w:rsid w:val="00727B29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024C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B42"/>
    <w:rsid w:val="007C4D94"/>
    <w:rsid w:val="007C5297"/>
    <w:rsid w:val="007C6CED"/>
    <w:rsid w:val="007C74C7"/>
    <w:rsid w:val="007C7626"/>
    <w:rsid w:val="007D1A02"/>
    <w:rsid w:val="007D1CF1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445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6661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2B9F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05D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30F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3EDD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26A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737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2F5B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D71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498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2DFF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672C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B95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4EC"/>
    <w:rsid w:val="00D1380F"/>
    <w:rsid w:val="00D13818"/>
    <w:rsid w:val="00D204A4"/>
    <w:rsid w:val="00D20564"/>
    <w:rsid w:val="00D23607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7C9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1FF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B62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0AC8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47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urosib.ru/ru/tenders/zakupki-ooo-evrosibenergo-gidrogeneratsiya/standarty-predpriyatiy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urosib.ru/ru/tenders/zakupki-ooo-evrosibenergo-gidrogeneratsiya/standarty-predpriyatiya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10063</Words>
  <Characters>57363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3</cp:revision>
  <dcterms:created xsi:type="dcterms:W3CDTF">2021-10-12T08:12:00Z</dcterms:created>
  <dcterms:modified xsi:type="dcterms:W3CDTF">2021-10-19T07:05:00Z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