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E95" w:rsidRPr="00644E95" w:rsidRDefault="00644E95" w:rsidP="00644E95">
      <w:pPr>
        <w:widowControl/>
        <w:shd w:val="clear" w:color="auto" w:fill="FFFFFF"/>
        <w:tabs>
          <w:tab w:val="left" w:pos="1540"/>
          <w:tab w:val="right" w:pos="4603"/>
        </w:tabs>
        <w:spacing w:line="276" w:lineRule="auto"/>
        <w:jc w:val="right"/>
        <w:rPr>
          <w:rFonts w:eastAsia="Times New Roman"/>
          <w:sz w:val="22"/>
          <w:szCs w:val="22"/>
        </w:rPr>
      </w:pPr>
      <w:r w:rsidRPr="00644E95">
        <w:rPr>
          <w:rFonts w:eastAsia="Times New Roman"/>
          <w:sz w:val="22"/>
          <w:szCs w:val="22"/>
        </w:rPr>
        <w:t>Приложение №</w:t>
      </w:r>
      <w:r w:rsidR="00410E2F">
        <w:rPr>
          <w:rFonts w:eastAsia="Times New Roman"/>
          <w:sz w:val="22"/>
          <w:szCs w:val="22"/>
        </w:rPr>
        <w:t>1</w:t>
      </w:r>
    </w:p>
    <w:p w:rsidR="00644E95" w:rsidRPr="00881640" w:rsidRDefault="00644E95" w:rsidP="00644E95">
      <w:pPr>
        <w:widowControl/>
        <w:shd w:val="clear" w:color="auto" w:fill="FFFFFF"/>
        <w:tabs>
          <w:tab w:val="left" w:pos="1540"/>
          <w:tab w:val="right" w:pos="4603"/>
        </w:tabs>
        <w:spacing w:line="276" w:lineRule="auto"/>
        <w:jc w:val="right"/>
        <w:rPr>
          <w:rFonts w:eastAsia="Times New Roman"/>
        </w:rPr>
      </w:pPr>
      <w:r w:rsidRPr="00644E95">
        <w:rPr>
          <w:rFonts w:eastAsia="Times New Roman"/>
          <w:sz w:val="22"/>
          <w:szCs w:val="22"/>
        </w:rPr>
        <w:t>к договору от «___» _____________20</w:t>
      </w:r>
      <w:r w:rsidR="00A10775" w:rsidRPr="00881640">
        <w:rPr>
          <w:rFonts w:eastAsia="Times New Roman"/>
          <w:sz w:val="22"/>
          <w:szCs w:val="22"/>
        </w:rPr>
        <w:t>21</w:t>
      </w:r>
      <w:r w:rsidRPr="00644E95">
        <w:rPr>
          <w:rFonts w:eastAsia="Times New Roman"/>
          <w:sz w:val="22"/>
          <w:szCs w:val="22"/>
        </w:rPr>
        <w:t>г. №0</w:t>
      </w:r>
      <w:r w:rsidR="00E55243">
        <w:rPr>
          <w:rFonts w:eastAsia="Times New Roman"/>
          <w:sz w:val="22"/>
          <w:szCs w:val="22"/>
        </w:rPr>
        <w:t>0</w:t>
      </w:r>
      <w:r w:rsidR="00BE108E" w:rsidRPr="00BE108E">
        <w:rPr>
          <w:rFonts w:eastAsia="Times New Roman"/>
          <w:sz w:val="22"/>
          <w:szCs w:val="22"/>
        </w:rPr>
        <w:t>3</w:t>
      </w:r>
      <w:r w:rsidRPr="00644E95">
        <w:rPr>
          <w:rFonts w:eastAsia="Times New Roman"/>
          <w:sz w:val="22"/>
          <w:szCs w:val="22"/>
        </w:rPr>
        <w:t>/02/</w:t>
      </w:r>
      <w:r w:rsidR="00A10775" w:rsidRPr="00881640">
        <w:rPr>
          <w:rFonts w:eastAsia="Times New Roman"/>
          <w:sz w:val="22"/>
          <w:szCs w:val="22"/>
        </w:rPr>
        <w:t>202</w:t>
      </w:r>
      <w:r w:rsidR="00D436E8">
        <w:rPr>
          <w:rFonts w:eastAsia="Times New Roman"/>
          <w:sz w:val="22"/>
          <w:szCs w:val="22"/>
        </w:rPr>
        <w:t>2</w:t>
      </w:r>
    </w:p>
    <w:p w:rsidR="00E65E46" w:rsidRPr="000C015A" w:rsidRDefault="00E65E46" w:rsidP="00E65E46">
      <w:pPr>
        <w:pStyle w:val="Style11"/>
        <w:widowControl/>
        <w:tabs>
          <w:tab w:val="left" w:pos="1022"/>
        </w:tabs>
        <w:spacing w:before="41"/>
        <w:ind w:left="598"/>
        <w:rPr>
          <w:rStyle w:val="FontStyle15"/>
        </w:rPr>
      </w:pPr>
    </w:p>
    <w:p w:rsidR="00E65E46" w:rsidRPr="000C015A" w:rsidRDefault="00E65E46" w:rsidP="00E65E46">
      <w:pPr>
        <w:widowControl/>
        <w:spacing w:line="274" w:lineRule="exact"/>
        <w:ind w:left="4363"/>
        <w:rPr>
          <w:b/>
          <w:sz w:val="22"/>
          <w:szCs w:val="22"/>
        </w:rPr>
      </w:pPr>
      <w:r w:rsidRPr="000C015A">
        <w:rPr>
          <w:b/>
          <w:sz w:val="22"/>
          <w:szCs w:val="22"/>
        </w:rPr>
        <w:t>З</w:t>
      </w:r>
      <w:r w:rsidR="00B15CF5">
        <w:rPr>
          <w:b/>
          <w:sz w:val="22"/>
          <w:szCs w:val="22"/>
        </w:rPr>
        <w:t>А</w:t>
      </w:r>
      <w:r w:rsidRPr="000C015A">
        <w:rPr>
          <w:b/>
          <w:sz w:val="22"/>
          <w:szCs w:val="22"/>
        </w:rPr>
        <w:t>ДАНИЕ</w:t>
      </w:r>
    </w:p>
    <w:p w:rsidR="00410E2F" w:rsidRDefault="00E65E46" w:rsidP="00E65E46">
      <w:pPr>
        <w:widowControl/>
        <w:spacing w:line="274" w:lineRule="exact"/>
        <w:jc w:val="center"/>
        <w:rPr>
          <w:b/>
          <w:sz w:val="22"/>
          <w:szCs w:val="22"/>
        </w:rPr>
      </w:pPr>
      <w:r w:rsidRPr="000C015A">
        <w:rPr>
          <w:b/>
          <w:sz w:val="22"/>
          <w:szCs w:val="22"/>
        </w:rPr>
        <w:t xml:space="preserve">на разработку проектной и рабочей документации </w:t>
      </w:r>
    </w:p>
    <w:p w:rsidR="00E65E46" w:rsidRPr="000C015A" w:rsidRDefault="004218E9" w:rsidP="00E65E46">
      <w:pPr>
        <w:widowControl/>
        <w:spacing w:line="274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объекту</w:t>
      </w:r>
      <w:r w:rsidR="00410E2F">
        <w:rPr>
          <w:b/>
          <w:sz w:val="22"/>
          <w:szCs w:val="22"/>
        </w:rPr>
        <w:t xml:space="preserve">: </w:t>
      </w:r>
      <w:r w:rsidR="00E65E46" w:rsidRPr="000C015A">
        <w:rPr>
          <w:b/>
          <w:sz w:val="22"/>
          <w:szCs w:val="22"/>
        </w:rPr>
        <w:t>«</w:t>
      </w:r>
      <w:r w:rsidR="00BE108E" w:rsidRPr="00BE108E">
        <w:rPr>
          <w:rFonts w:eastAsia="Calibri"/>
        </w:rPr>
        <w:t>Внедрение мониторинга ОПРЧ на Братской ГЭС</w:t>
      </w:r>
      <w:r w:rsidR="00677F72">
        <w:rPr>
          <w:b/>
          <w:sz w:val="22"/>
          <w:szCs w:val="22"/>
        </w:rPr>
        <w:t>»</w:t>
      </w:r>
    </w:p>
    <w:p w:rsidR="00E65E46" w:rsidRDefault="00E65E46" w:rsidP="00E65E46">
      <w:pPr>
        <w:pStyle w:val="Style11"/>
        <w:widowControl/>
        <w:tabs>
          <w:tab w:val="left" w:pos="1022"/>
        </w:tabs>
        <w:spacing w:before="41"/>
        <w:ind w:left="598"/>
        <w:jc w:val="center"/>
        <w:rPr>
          <w:rStyle w:val="FontStyle15"/>
        </w:rPr>
      </w:pPr>
    </w:p>
    <w:p w:rsidR="004218E9" w:rsidRPr="00C43A40" w:rsidRDefault="004218E9" w:rsidP="004218E9">
      <w:pPr>
        <w:pStyle w:val="1"/>
        <w:numPr>
          <w:ilvl w:val="0"/>
          <w:numId w:val="25"/>
        </w:numPr>
        <w:spacing w:after="120"/>
        <w:ind w:left="714" w:hanging="357"/>
        <w:jc w:val="both"/>
        <w:rPr>
          <w:b/>
        </w:rPr>
      </w:pPr>
      <w:r w:rsidRPr="00C43A40">
        <w:rPr>
          <w:b/>
        </w:rPr>
        <w:t>Основания для проектирования</w:t>
      </w:r>
    </w:p>
    <w:p w:rsidR="004218E9" w:rsidRPr="00C43A40" w:rsidRDefault="004218E9" w:rsidP="004218E9">
      <w:pPr>
        <w:pStyle w:val="1"/>
        <w:ind w:firstLine="720"/>
        <w:jc w:val="both"/>
      </w:pPr>
      <w:r w:rsidRPr="00C43A40">
        <w:t>План капитальных вложений на капитальное строительство на 2022 год, утвержденный директором ООО «ЕвроСибЭнерго-Гидрогенерация».</w:t>
      </w:r>
    </w:p>
    <w:p w:rsidR="004218E9" w:rsidRPr="00C43A40" w:rsidRDefault="004218E9" w:rsidP="004218E9">
      <w:pPr>
        <w:pStyle w:val="1"/>
        <w:ind w:firstLine="720"/>
        <w:jc w:val="both"/>
      </w:pPr>
      <w:r w:rsidRPr="00C43A40">
        <w:t>Приказ Министерства энергетики РФ от 9 января 2019 г. № 2 “Об утверждении требований к участию генерирующего оборудования в общем первичном регулировании частоты и внесении изменений в Правила технической эксплуатации электрических станций и сетей Российской Федерации, утвержденные приказом Минэнерго России от 19 июня 2003 г. № 229”</w:t>
      </w:r>
    </w:p>
    <w:p w:rsidR="004218E9" w:rsidRPr="00C43A40" w:rsidRDefault="004218E9" w:rsidP="004218E9">
      <w:pPr>
        <w:pStyle w:val="1"/>
        <w:ind w:firstLine="720"/>
        <w:jc w:val="both"/>
      </w:pPr>
      <w:r w:rsidRPr="00C43A40">
        <w:t>Введение в действие «Методики мониторинга и анализа участия генерирующего оборудования в ОПРЧ», утвержденной АО «СО ЕЭС» от 01.06.2019 г. для мониторинга участия генерирующего оборудования в ОПРЧ.</w:t>
      </w:r>
    </w:p>
    <w:p w:rsidR="004218E9" w:rsidRPr="00C43A40" w:rsidRDefault="004218E9" w:rsidP="004218E9">
      <w:pPr>
        <w:pStyle w:val="1"/>
        <w:ind w:firstLine="720"/>
        <w:jc w:val="both"/>
      </w:pPr>
      <w:r w:rsidRPr="00C43A40">
        <w:t>Организация оперативного автоматического анализа и хранения в табличном и графическом виде данных мониторинга для случаев отклонения частоты за пределы ±0,20 Гц, а также при скачкообразных отклонениях частоты в энергосистеме на величину в пределах ±0,10 ÷ 0,20 Гц от номинальной частоты.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spacing w:before="240" w:after="120"/>
        <w:ind w:left="714" w:hanging="357"/>
        <w:jc w:val="both"/>
        <w:rPr>
          <w:b/>
        </w:rPr>
      </w:pPr>
      <w:r w:rsidRPr="00C43A40">
        <w:rPr>
          <w:b/>
        </w:rPr>
        <w:t>Вид работ</w:t>
      </w:r>
      <w:bookmarkStart w:id="0" w:name="_GoBack"/>
      <w:bookmarkEnd w:id="0"/>
    </w:p>
    <w:p w:rsidR="004218E9" w:rsidRPr="00C43A40" w:rsidRDefault="004218E9" w:rsidP="004218E9">
      <w:pPr>
        <w:pStyle w:val="1"/>
        <w:ind w:firstLine="708"/>
        <w:jc w:val="both"/>
      </w:pPr>
      <w:r>
        <w:t>Р</w:t>
      </w:r>
      <w:r w:rsidRPr="00FD68EE">
        <w:t>азработк</w:t>
      </w:r>
      <w:r>
        <w:t xml:space="preserve">а </w:t>
      </w:r>
      <w:r w:rsidRPr="00FD68EE">
        <w:t>проектной и рабочей документации</w:t>
      </w:r>
      <w:r>
        <w:t xml:space="preserve"> для программного технического комплекса </w:t>
      </w:r>
      <w:r w:rsidRPr="00C43A40">
        <w:t>«Мониторинг участия генерирующего оборудования в ОПРЧ» (далее ПТК</w:t>
      </w:r>
      <w:r>
        <w:t xml:space="preserve"> «Мониторинг ОПРЧ на Братской ГЭС»</w:t>
      </w:r>
      <w:r w:rsidRPr="00C43A40">
        <w:t>) для выполнения требований Приказа Министерства энергетики РФ от 9 января 2019 г. № 2.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spacing w:before="240" w:after="120"/>
        <w:ind w:left="714" w:hanging="357"/>
        <w:jc w:val="both"/>
        <w:rPr>
          <w:b/>
        </w:rPr>
      </w:pPr>
      <w:r w:rsidRPr="00C43A40">
        <w:rPr>
          <w:b/>
        </w:rPr>
        <w:t>Район и площадка выполнения работ</w:t>
      </w:r>
    </w:p>
    <w:p w:rsidR="004218E9" w:rsidRPr="00CD45BA" w:rsidRDefault="004218E9" w:rsidP="004218E9">
      <w:pPr>
        <w:pStyle w:val="11"/>
        <w:ind w:firstLine="708"/>
        <w:jc w:val="both"/>
      </w:pPr>
      <w:r w:rsidRPr="00C43A40">
        <w:t>Иркутская область, г. Братск, территория Филиала ООО «ЕвроСибЭнерго-Гидрогенерация» «Братская ГЭС» (далее – БГЭС) вспомогательный щит центрального пульта управления (далее ВЩ ЦПУ).</w:t>
      </w:r>
      <w:bookmarkStart w:id="1" w:name="_Toc237341282"/>
      <w:bookmarkStart w:id="2" w:name="_Toc263251013"/>
    </w:p>
    <w:p w:rsidR="004218E9" w:rsidRPr="00CD45BA" w:rsidRDefault="004218E9" w:rsidP="004218E9">
      <w:pPr>
        <w:pStyle w:val="11"/>
        <w:numPr>
          <w:ilvl w:val="0"/>
          <w:numId w:val="25"/>
        </w:numPr>
        <w:spacing w:before="240" w:after="120"/>
        <w:ind w:left="714" w:hanging="357"/>
        <w:jc w:val="both"/>
        <w:rPr>
          <w:b/>
        </w:rPr>
      </w:pPr>
      <w:bookmarkStart w:id="3" w:name="_Toc274207201"/>
      <w:bookmarkStart w:id="4" w:name="_Toc274207785"/>
      <w:r w:rsidRPr="00CD45BA">
        <w:rPr>
          <w:b/>
        </w:rPr>
        <w:t xml:space="preserve">Назначение </w:t>
      </w:r>
      <w:bookmarkEnd w:id="1"/>
      <w:r w:rsidRPr="00CD45BA">
        <w:rPr>
          <w:b/>
        </w:rPr>
        <w:t>проведения работ</w:t>
      </w:r>
      <w:bookmarkEnd w:id="3"/>
      <w:bookmarkEnd w:id="4"/>
      <w:r w:rsidRPr="00CD45BA">
        <w:rPr>
          <w:b/>
        </w:rPr>
        <w:t xml:space="preserve"> </w:t>
      </w:r>
      <w:bookmarkEnd w:id="2"/>
    </w:p>
    <w:p w:rsidR="004218E9" w:rsidRPr="00CD45BA" w:rsidRDefault="004218E9" w:rsidP="00F41CDC">
      <w:pPr>
        <w:pStyle w:val="11"/>
        <w:numPr>
          <w:ilvl w:val="1"/>
          <w:numId w:val="25"/>
        </w:numPr>
        <w:ind w:left="709" w:hanging="425"/>
        <w:jc w:val="both"/>
      </w:pPr>
      <w:r w:rsidRPr="00CD45BA">
        <w:t>Выполнение требований Приказа Минэнерго №1 от 19.01.2019</w:t>
      </w:r>
    </w:p>
    <w:p w:rsidR="004218E9" w:rsidRPr="00CD45BA" w:rsidRDefault="004218E9" w:rsidP="00812A0A">
      <w:pPr>
        <w:pStyle w:val="11"/>
        <w:numPr>
          <w:ilvl w:val="1"/>
          <w:numId w:val="25"/>
        </w:numPr>
        <w:ind w:left="0" w:firstLine="567"/>
        <w:jc w:val="both"/>
      </w:pPr>
      <w:r w:rsidRPr="00CD45BA">
        <w:t xml:space="preserve">Разработка проектной и рабочей документации на внедрение по объекту </w:t>
      </w:r>
      <w:r>
        <w:t>«</w:t>
      </w:r>
      <w:r w:rsidRPr="00B74F7A">
        <w:t>Внедрение мониторинга ОПРЧ</w:t>
      </w:r>
      <w:r w:rsidRPr="00891590">
        <w:t xml:space="preserve"> на Братской </w:t>
      </w:r>
      <w:proofErr w:type="gramStart"/>
      <w:r w:rsidRPr="00891590">
        <w:t>ГЭС</w:t>
      </w:r>
      <w:r>
        <w:t xml:space="preserve">» </w:t>
      </w:r>
      <w:r w:rsidRPr="00CD45BA">
        <w:t xml:space="preserve"> проводятся</w:t>
      </w:r>
      <w:proofErr w:type="gramEnd"/>
      <w:r w:rsidRPr="00CD45BA">
        <w:t>, для:</w:t>
      </w:r>
    </w:p>
    <w:p w:rsidR="004218E9" w:rsidRPr="00CD45B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Исключения случаев некорректного анализа участия   генерирующего оборудования ГЭС в ОПРЧ БГЭС.</w:t>
      </w:r>
    </w:p>
    <w:p w:rsidR="004218E9" w:rsidRPr="00CD45B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Организации автоматического создания оценочного отчета участия генерирующего оборудования ГЭС в ОПРЧ БГЭС для оперативного предоставления СО РСУ (по требованию).</w:t>
      </w:r>
      <w:bookmarkStart w:id="5" w:name="_Toc237341283"/>
      <w:bookmarkStart w:id="6" w:name="_Toc263251014"/>
    </w:p>
    <w:p w:rsidR="004218E9" w:rsidRPr="00CD45B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Экономия времени на анализ работы и подготовку отчетов.</w:t>
      </w:r>
    </w:p>
    <w:p w:rsidR="004218E9" w:rsidRPr="00CD45B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Своевременное выявление некорректной реакции оборудования на отклонения частоты.</w:t>
      </w:r>
    </w:p>
    <w:p w:rsidR="004218E9" w:rsidRPr="00CD45B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Помощь при настройке систем регулирования оборудования.</w:t>
      </w:r>
    </w:p>
    <w:p w:rsidR="004218E9" w:rsidRPr="00CD45B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Снижение вероятности получения штрафов за неучастие генерирующего оборудования ГЭС в ОПРЧ БГЭС.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D45BA">
        <w:t>Повышение готовности к ОЗП.</w:t>
      </w:r>
    </w:p>
    <w:p w:rsidR="00812A0A" w:rsidRDefault="00812A0A" w:rsidP="00812A0A">
      <w:pPr>
        <w:pStyle w:val="11"/>
        <w:jc w:val="both"/>
      </w:pPr>
    </w:p>
    <w:p w:rsidR="00812A0A" w:rsidRDefault="00812A0A" w:rsidP="00812A0A">
      <w:pPr>
        <w:pStyle w:val="11"/>
        <w:jc w:val="both"/>
      </w:pPr>
    </w:p>
    <w:p w:rsidR="00812A0A" w:rsidRPr="00CD45BA" w:rsidRDefault="00812A0A" w:rsidP="00812A0A">
      <w:pPr>
        <w:pStyle w:val="11"/>
        <w:jc w:val="both"/>
      </w:pPr>
    </w:p>
    <w:bookmarkEnd w:id="5"/>
    <w:bookmarkEnd w:id="6"/>
    <w:p w:rsidR="004218E9" w:rsidRPr="00C43A40" w:rsidRDefault="004218E9" w:rsidP="004218E9">
      <w:pPr>
        <w:pStyle w:val="11"/>
        <w:numPr>
          <w:ilvl w:val="0"/>
          <w:numId w:val="25"/>
        </w:numPr>
        <w:spacing w:before="240" w:after="120"/>
        <w:ind w:left="714" w:hanging="357"/>
        <w:jc w:val="both"/>
        <w:rPr>
          <w:b/>
        </w:rPr>
      </w:pPr>
      <w:r w:rsidRPr="00C43A40">
        <w:rPr>
          <w:b/>
        </w:rPr>
        <w:lastRenderedPageBreak/>
        <w:t>Объем проектной</w:t>
      </w:r>
      <w:r>
        <w:rPr>
          <w:b/>
        </w:rPr>
        <w:t xml:space="preserve"> и рабочей</w:t>
      </w:r>
      <w:r w:rsidRPr="00C43A40">
        <w:rPr>
          <w:b/>
        </w:rPr>
        <w:t xml:space="preserve"> документации</w:t>
      </w:r>
    </w:p>
    <w:p w:rsidR="004218E9" w:rsidRDefault="004218E9" w:rsidP="00F41CDC">
      <w:pPr>
        <w:pStyle w:val="11"/>
        <w:numPr>
          <w:ilvl w:val="1"/>
          <w:numId w:val="25"/>
        </w:numPr>
        <w:ind w:left="0" w:firstLine="284"/>
        <w:jc w:val="both"/>
      </w:pPr>
      <w:r>
        <w:t>Проектная документация разработанная в соответствии с действующими в РФ нормами, во всех её частях, в объеме достаточном для прохождения экспертизы промышленной безопасности и осуществления внедрения скомпонованная в отдельных томах:</w:t>
      </w:r>
    </w:p>
    <w:p w:rsidR="004218E9" w:rsidRPr="00C43A40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C43A40">
        <w:t>Техническое задание;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«Общая пояснительная записка» Том содержит всю описательную и графическую часть, выполняемую в рамках осуществления внедрения;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Сметная документация.</w:t>
      </w:r>
    </w:p>
    <w:p w:rsidR="004218E9" w:rsidRPr="00C43A40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Т</w:t>
      </w:r>
      <w:r w:rsidRPr="00C43A40">
        <w:t>ехнический проект на автоматизированную (информационную) систему</w:t>
      </w:r>
      <w:r>
        <w:t xml:space="preserve"> включая подсистему защиты информации</w:t>
      </w:r>
      <w:r w:rsidRPr="00C43A40">
        <w:t>;</w:t>
      </w:r>
    </w:p>
    <w:p w:rsidR="004218E9" w:rsidRPr="00C43A40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</w:t>
      </w:r>
      <w:r w:rsidRPr="00C43A40">
        <w:t>ринципиально-монтажные схемы на модернизируемое и вновь устанавливаемое оборудование с привязкой к действующим устройствам и оборудованию;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М</w:t>
      </w:r>
      <w:r w:rsidRPr="00C43A40">
        <w:t>онтажные схемы панелей, шкафов и оборудования;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С</w:t>
      </w:r>
      <w:r w:rsidRPr="00C43A40">
        <w:t>хему кабельных связей;</w:t>
      </w:r>
    </w:p>
    <w:p w:rsidR="004218E9" w:rsidRPr="00C43A40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Ж</w:t>
      </w:r>
      <w:r w:rsidRPr="00C43A40">
        <w:t>урнал кабельных связей (для демонтируемых и монтируемых кабелей);</w:t>
      </w:r>
    </w:p>
    <w:p w:rsidR="004218E9" w:rsidRPr="00C43A40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</w:t>
      </w:r>
      <w:r w:rsidRPr="00C43A40">
        <w:t>ланы (чертежи) размещения оборудования и прокладки кабельных связей;</w:t>
      </w:r>
    </w:p>
    <w:p w:rsidR="004218E9" w:rsidRPr="00C43A40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С</w:t>
      </w:r>
      <w:r w:rsidRPr="00C43A40">
        <w:t>борочные и габаритные чертежи;</w:t>
      </w:r>
    </w:p>
    <w:p w:rsidR="004218E9" w:rsidRPr="00D7422D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B0401A">
        <w:t xml:space="preserve">Спецификации оборудования, </w:t>
      </w:r>
      <w:r w:rsidR="00812A0A">
        <w:t>материалов, комплектующих и ЗИП.</w:t>
      </w:r>
    </w:p>
    <w:p w:rsidR="004218E9" w:rsidRPr="00F12BBA" w:rsidRDefault="004218E9" w:rsidP="00F41CDC">
      <w:pPr>
        <w:pStyle w:val="11"/>
        <w:numPr>
          <w:ilvl w:val="1"/>
          <w:numId w:val="25"/>
        </w:numPr>
        <w:ind w:left="0" w:firstLine="284"/>
        <w:jc w:val="both"/>
      </w:pPr>
      <w:r>
        <w:t>Проектную и рабочую документацию разработать н</w:t>
      </w:r>
      <w:r w:rsidRPr="00C43A40">
        <w:t xml:space="preserve">а основе принятых в проектной документации технических, технологических и иных решений </w:t>
      </w:r>
      <w:r>
        <w:t xml:space="preserve">с учетом особенностей объекта и требований ГОСТ, ЕСКД, ЕСПД, СНиП, ПУЭ и других нормативно руководящих документов, действующих на территории российской Федерации в объеме полного комплекта (основной комплект, прилагаемые и ссылочные документы) в соответствии с ГОСТ Р 21.1101-2013, </w:t>
      </w:r>
      <w:r w:rsidRPr="00D7422D">
        <w:t>ГОСТ Р 51583-2014</w:t>
      </w:r>
      <w:r w:rsidRPr="00F12BBA">
        <w:t xml:space="preserve">, </w:t>
      </w:r>
      <w:r w:rsidRPr="00D7422D">
        <w:rPr>
          <w:bCs/>
        </w:rPr>
        <w:t>ГОСТ 34.601-90</w:t>
      </w:r>
      <w:r w:rsidRPr="00F12BBA">
        <w:rPr>
          <w:bCs/>
        </w:rPr>
        <w:t xml:space="preserve">, </w:t>
      </w:r>
      <w:r w:rsidRPr="00D7422D">
        <w:rPr>
          <w:bCs/>
        </w:rPr>
        <w:t>СТО 59012</w:t>
      </w:r>
      <w:r w:rsidRPr="00B0401A">
        <w:rPr>
          <w:bCs/>
        </w:rPr>
        <w:t>820.29.020.009-2016</w:t>
      </w:r>
      <w:r w:rsidRPr="00F12BBA">
        <w:t>.</w:t>
      </w:r>
    </w:p>
    <w:p w:rsidR="004218E9" w:rsidRPr="0063166D" w:rsidRDefault="004218E9" w:rsidP="00F41CDC">
      <w:pPr>
        <w:pStyle w:val="11"/>
        <w:numPr>
          <w:ilvl w:val="1"/>
          <w:numId w:val="25"/>
        </w:numPr>
        <w:ind w:left="0" w:firstLine="284"/>
        <w:jc w:val="both"/>
      </w:pPr>
      <w:r w:rsidRPr="0063166D">
        <w:t>Рабочая документация должна</w:t>
      </w:r>
      <w:r w:rsidRPr="00B0401A">
        <w:t xml:space="preserve"> </w:t>
      </w:r>
      <w:r w:rsidRPr="0063166D">
        <w:t>включат</w:t>
      </w:r>
      <w:r w:rsidRPr="00B0401A">
        <w:t>ь</w:t>
      </w:r>
      <w:r w:rsidRPr="0063166D">
        <w:t xml:space="preserve"> в себя: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Ведомость документов;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Перечень входных сигналов;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Перечень выходных сигналов;</w:t>
      </w:r>
    </w:p>
    <w:p w:rsidR="004218E9" w:rsidRPr="00D7422D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B0401A">
        <w:t xml:space="preserve">Спецификации оборудования, </w:t>
      </w:r>
      <w:r>
        <w:t>изделий и материалов</w:t>
      </w:r>
      <w:r w:rsidRPr="00B0401A">
        <w:t>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Схема структурная комплекса технических средств;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Схема соединения внешних проводок;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Схема подключения внешних проводок;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План расположения оборудования и проводок;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Кабельный журнал;</w:t>
      </w:r>
    </w:p>
    <w:p w:rsidR="004218E9" w:rsidRPr="00B0401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О</w:t>
      </w:r>
      <w:r w:rsidRPr="00B0401A">
        <w:t>просные листы для заказа оборудования;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В</w:t>
      </w:r>
      <w:r w:rsidRPr="00B0401A">
        <w:t>едомости объемов работ.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З</w:t>
      </w:r>
      <w:r w:rsidRPr="00B0401A">
        <w:t>адание заводу на изготовление шкафов;</w:t>
      </w:r>
    </w:p>
    <w:p w:rsidR="004218E9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Паспорт на шкаф;</w:t>
      </w:r>
    </w:p>
    <w:p w:rsidR="004218E9" w:rsidRPr="00B0401A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>
        <w:t>П</w:t>
      </w:r>
      <w:r w:rsidRPr="00B0401A">
        <w:t>рограмму пуско-наладочных работ;</w:t>
      </w:r>
    </w:p>
    <w:p w:rsidR="004218E9" w:rsidRPr="00D629C6" w:rsidRDefault="004218E9" w:rsidP="00812A0A">
      <w:pPr>
        <w:pStyle w:val="11"/>
        <w:numPr>
          <w:ilvl w:val="2"/>
          <w:numId w:val="25"/>
        </w:numPr>
        <w:ind w:left="0" w:firstLine="567"/>
        <w:jc w:val="both"/>
      </w:pPr>
      <w:r w:rsidRPr="00D629C6">
        <w:t xml:space="preserve">Руководства по эксплуатации. 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spacing w:before="240" w:after="120"/>
        <w:ind w:left="714" w:hanging="357"/>
        <w:jc w:val="both"/>
        <w:rPr>
          <w:b/>
        </w:rPr>
      </w:pPr>
      <w:r w:rsidRPr="00C43A40">
        <w:rPr>
          <w:b/>
        </w:rPr>
        <w:t>Этапы проектирования</w:t>
      </w:r>
    </w:p>
    <w:p w:rsidR="004218E9" w:rsidRPr="00C43A40" w:rsidRDefault="004218E9" w:rsidP="004218E9">
      <w:pPr>
        <w:pStyle w:val="1"/>
        <w:numPr>
          <w:ilvl w:val="0"/>
          <w:numId w:val="26"/>
        </w:numPr>
        <w:ind w:left="0" w:firstLine="360"/>
        <w:jc w:val="both"/>
      </w:pPr>
      <w:r w:rsidRPr="00C43A40">
        <w:t>I этап: предпроектное обследование, обоснование основных технических решений (ОТР), выбор оборудования;</w:t>
      </w:r>
    </w:p>
    <w:p w:rsidR="004218E9" w:rsidRPr="00C43A40" w:rsidRDefault="004218E9" w:rsidP="004218E9">
      <w:pPr>
        <w:pStyle w:val="1"/>
        <w:numPr>
          <w:ilvl w:val="0"/>
          <w:numId w:val="26"/>
        </w:numPr>
        <w:ind w:left="0" w:firstLine="360"/>
        <w:jc w:val="both"/>
      </w:pPr>
      <w:r w:rsidRPr="00C43A40">
        <w:t>II этап: разработка проектной и рабочей документации.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spacing w:before="240" w:after="120"/>
        <w:ind w:left="714" w:hanging="357"/>
        <w:jc w:val="both"/>
        <w:rPr>
          <w:b/>
        </w:rPr>
      </w:pPr>
      <w:r w:rsidRPr="00C43A40">
        <w:rPr>
          <w:b/>
        </w:rPr>
        <w:t xml:space="preserve">Основные </w:t>
      </w:r>
      <w:r>
        <w:rPr>
          <w:b/>
        </w:rPr>
        <w:t xml:space="preserve">данные и </w:t>
      </w:r>
      <w:r w:rsidRPr="00C43A40">
        <w:rPr>
          <w:b/>
        </w:rPr>
        <w:t>требования к проектным решениям</w:t>
      </w:r>
    </w:p>
    <w:p w:rsidR="004218E9" w:rsidRPr="00C43A40" w:rsidRDefault="004218E9" w:rsidP="00F41CDC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hanging="716"/>
        <w:jc w:val="both"/>
        <w:rPr>
          <w:b/>
        </w:rPr>
      </w:pPr>
      <w:r w:rsidRPr="00C43A40">
        <w:rPr>
          <w:b/>
        </w:rPr>
        <w:t>Предпроектное обследование</w:t>
      </w:r>
    </w:p>
    <w:p w:rsidR="004218E9" w:rsidRPr="00C43A40" w:rsidRDefault="004218E9" w:rsidP="004218E9">
      <w:pPr>
        <w:pStyle w:val="11"/>
        <w:numPr>
          <w:ilvl w:val="2"/>
          <w:numId w:val="25"/>
        </w:numPr>
        <w:tabs>
          <w:tab w:val="left" w:pos="1134"/>
        </w:tabs>
        <w:ind w:left="0" w:firstLine="852"/>
        <w:jc w:val="both"/>
      </w:pPr>
      <w:r>
        <w:t>Исполнитель должен п</w:t>
      </w:r>
      <w:r w:rsidRPr="00C43A40">
        <w:t xml:space="preserve">ровести инвентаризацию установленных на </w:t>
      </w:r>
      <w:r>
        <w:t>Братской ГЭС</w:t>
      </w:r>
      <w:r w:rsidRPr="00C43A40">
        <w:t xml:space="preserve"> ПТК ЭГР, ПТК ГРАРМ, Серверов ввода вывода и баз данных системы ГРАРМ для определения возможности интеграции с ПТК «</w:t>
      </w:r>
      <w:r>
        <w:t>Мониторинг ОПРЧ на Братской ГЭС</w:t>
      </w:r>
      <w:r w:rsidRPr="00C43A40">
        <w:t>» в части передачи необходимой информации на соответствие ГОСТ-Р 58601-2019</w:t>
      </w:r>
      <w:r w:rsidRPr="00EC1AB1">
        <w:rPr>
          <w:sz w:val="28"/>
          <w:szCs w:val="28"/>
        </w:rPr>
        <w:t xml:space="preserve"> </w:t>
      </w:r>
      <w:r w:rsidRPr="00C43A40">
        <w:t xml:space="preserve">«Единая энергетическая система </w:t>
      </w:r>
      <w:r w:rsidRPr="00C43A40">
        <w:lastRenderedPageBreak/>
        <w:t>и изолированно работающие энергосистемы. Оперативно-диспетчерское управление. Релейная защита и автоматика. Автономные регистраторы аварийных событий. Нормы и требования».</w:t>
      </w:r>
    </w:p>
    <w:p w:rsidR="004218E9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7D7ABE">
        <w:t>Проанализировать техническую возможность использования существующего</w:t>
      </w:r>
      <w:r>
        <w:t xml:space="preserve"> оборудования </w:t>
      </w:r>
      <w:r w:rsidRPr="00ED7CED">
        <w:t>сервер</w:t>
      </w:r>
      <w:r>
        <w:t>ов</w:t>
      </w:r>
      <w:r w:rsidRPr="00ED7CED">
        <w:t xml:space="preserve"> «Сервер шлюз №1» и «Сервер шлюз №2</w:t>
      </w:r>
      <w:r>
        <w:t xml:space="preserve"> АСУТП БГЭС</w:t>
      </w:r>
      <w:r w:rsidRPr="007D7ABE">
        <w:t xml:space="preserve"> с целью установки </w:t>
      </w:r>
      <w:r>
        <w:t>программного обеспечения</w:t>
      </w:r>
      <w:r w:rsidRPr="007D7ABE">
        <w:t xml:space="preserve"> ПТК «</w:t>
      </w:r>
      <w:r>
        <w:t>Мониторинг ОПРЧ на Братской ГЭС</w:t>
      </w:r>
      <w:r w:rsidRPr="007D7ABE">
        <w:t>».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C43A40">
        <w:t>При отсутствии</w:t>
      </w:r>
      <w:r>
        <w:t xml:space="preserve"> технической</w:t>
      </w:r>
      <w:r w:rsidRPr="00C43A40">
        <w:t xml:space="preserve"> возможности </w:t>
      </w:r>
      <w:r>
        <w:t xml:space="preserve">интеграции </w:t>
      </w:r>
      <w:r w:rsidRPr="00C43A40">
        <w:t>ПТК «</w:t>
      </w:r>
      <w:r>
        <w:t>Мониторинг ОПРЧ на Братской ГЭС</w:t>
      </w:r>
      <w:r w:rsidRPr="00C43A40">
        <w:t xml:space="preserve">» </w:t>
      </w:r>
      <w:r>
        <w:t>с</w:t>
      </w:r>
      <w:r w:rsidRPr="00C43A40">
        <w:t xml:space="preserve"> ПТК ЭГР, ПТК ГРАРМ, Сервер</w:t>
      </w:r>
      <w:r>
        <w:t>ами</w:t>
      </w:r>
      <w:r w:rsidRPr="00C43A40">
        <w:t xml:space="preserve"> ввода вывода и баз данных системы ГРАРМ, сформировать перечень оборудования и объема работ, требуемых для проведения работ по подключению ПТК «</w:t>
      </w:r>
      <w:r>
        <w:t>Мониторинг ОПРЧ на Братской ГЭС</w:t>
      </w:r>
      <w:r w:rsidRPr="00C43A40">
        <w:t>» к данным системам</w:t>
      </w:r>
      <w:r>
        <w:t>, а также включить в смету данное оборудование и объем работ.</w:t>
      </w:r>
    </w:p>
    <w:p w:rsidR="004218E9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C43A40">
        <w:t>Предпроектное обследование проводится проектной организацией самостоятельно, с выездом специалистов на БГЭС. Заказчик обеспечивает доступ на объект и оказывает необходимое содействие в сборе исходных данных.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C43A40">
        <w:t xml:space="preserve">Результаты </w:t>
      </w:r>
      <w:proofErr w:type="spellStart"/>
      <w:r w:rsidRPr="00C43A40">
        <w:t>предпроектного</w:t>
      </w:r>
      <w:proofErr w:type="spellEnd"/>
      <w:r w:rsidRPr="00C43A40">
        <w:t xml:space="preserve"> обследования согласовать с Заказчиком, отделом релейной защиты и </w:t>
      </w:r>
      <w:proofErr w:type="spellStart"/>
      <w:r w:rsidRPr="00C43A40">
        <w:t>электроавтоматики</w:t>
      </w:r>
      <w:proofErr w:type="spellEnd"/>
      <w:r w:rsidRPr="00C43A40">
        <w:t xml:space="preserve"> ООО "ЕвроСибЭнерго-Гидрогенерация" (далее - ОРЗЭА), ДЗР Эн+ Менеджмент «Сибирь».</w:t>
      </w:r>
    </w:p>
    <w:p w:rsidR="004218E9" w:rsidRPr="00C43A40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  <w:rPr>
          <w:b/>
        </w:rPr>
      </w:pPr>
      <w:r w:rsidRPr="00C43A40">
        <w:rPr>
          <w:b/>
        </w:rPr>
        <w:t>Разработка основных технических решений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 xml:space="preserve">На основании данных, полученных при проведении </w:t>
      </w:r>
      <w:proofErr w:type="spellStart"/>
      <w:r w:rsidRPr="00940184">
        <w:t>предпроектного</w:t>
      </w:r>
      <w:proofErr w:type="spellEnd"/>
      <w:r w:rsidRPr="00940184">
        <w:t xml:space="preserve"> обследования определить перечень оборудования ПТК «</w:t>
      </w:r>
      <w:r>
        <w:t>Мониторинг ОПРЧ на Братской ГЭС</w:t>
      </w:r>
      <w:r w:rsidRPr="00940184">
        <w:t>» требуемого для выполнения работ. При необходимости выполнить необходимый объем проектных работ.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Определить перечень ПО, устанавливаемого ПТК «</w:t>
      </w:r>
      <w:r>
        <w:t>Мониторинг ОПРЧ на Братской ГЭС</w:t>
      </w:r>
      <w:r w:rsidRPr="00940184">
        <w:t>» и объема работ по его наладке.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Определить структуру необходимой сети для получения данных в ПТК «</w:t>
      </w:r>
      <w:r>
        <w:t>Мониторинг ОПРЧ на Братской ГЭС</w:t>
      </w:r>
      <w:r w:rsidRPr="00940184">
        <w:t>» из</w:t>
      </w:r>
      <w:r w:rsidRPr="00940184">
        <w:rPr>
          <w:b/>
        </w:rPr>
        <w:t xml:space="preserve"> </w:t>
      </w:r>
      <w:r w:rsidRPr="00940184">
        <w:t>ПТК ЭГР, ПТК ГРАРМ, Серверов ввода вывода и баз данных системы ГРАРМ</w:t>
      </w:r>
      <w:r>
        <w:t xml:space="preserve"> по информационной сети №1 и №2</w:t>
      </w:r>
      <w:r w:rsidRPr="00940184">
        <w:t>. Определить перечень необходимого серверного оборудования и сетевого оборудования (включая оборудование для обеспечения информационной безопасности). Определить места установки оборудования, необходимость установки отдельного шкафа для ПТК «</w:t>
      </w:r>
      <w:r>
        <w:t>Мониторинг ОПРЧ на Братской ГЭС</w:t>
      </w:r>
      <w:r w:rsidRPr="00940184">
        <w:t>» и сетевого оборудования. Определить необходимые линии связи.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Разрабатываемые технические решения должны учитывать требования по информационной безопасности, в том числе требования приказа ФСТЭК №31 от 14.03.2014 г., приказа ФСТЭК №239 от 25.12.2017 г.</w:t>
      </w:r>
    </w:p>
    <w:p w:rsidR="004218E9" w:rsidRPr="00940184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940184">
        <w:rPr>
          <w:b/>
        </w:rPr>
        <w:t>Требования к функциям</w:t>
      </w:r>
      <w:r w:rsidRPr="00B4121C">
        <w:rPr>
          <w:b/>
        </w:rPr>
        <w:t xml:space="preserve"> внедряемой системы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Информационный обмен с источниками данных по цифровым протоколам информационного обмена:</w:t>
      </w:r>
    </w:p>
    <w:p w:rsidR="004218E9" w:rsidRPr="00940184" w:rsidRDefault="004218E9" w:rsidP="00812A0A">
      <w:pPr>
        <w:pStyle w:val="a3"/>
        <w:widowControl/>
        <w:numPr>
          <w:ilvl w:val="0"/>
          <w:numId w:val="32"/>
        </w:numPr>
        <w:tabs>
          <w:tab w:val="left" w:pos="0"/>
        </w:tabs>
        <w:ind w:left="0" w:firstLine="567"/>
        <w:jc w:val="both"/>
      </w:pPr>
      <w:r w:rsidRPr="00940184">
        <w:rPr>
          <w:lang w:val="en-US"/>
        </w:rPr>
        <w:t>Fins Omron</w:t>
      </w:r>
      <w:r w:rsidRPr="00940184">
        <w:t>;</w:t>
      </w:r>
    </w:p>
    <w:p w:rsidR="004218E9" w:rsidRPr="00940184" w:rsidRDefault="004218E9" w:rsidP="00812A0A">
      <w:pPr>
        <w:pStyle w:val="a3"/>
        <w:widowControl/>
        <w:numPr>
          <w:ilvl w:val="0"/>
          <w:numId w:val="32"/>
        </w:numPr>
        <w:tabs>
          <w:tab w:val="left" w:pos="0"/>
        </w:tabs>
        <w:ind w:left="0" w:firstLine="567"/>
        <w:jc w:val="both"/>
      </w:pPr>
      <w:r w:rsidRPr="00940184">
        <w:t>OPC DA;</w:t>
      </w:r>
    </w:p>
    <w:p w:rsidR="004218E9" w:rsidRPr="00940184" w:rsidRDefault="004218E9" w:rsidP="00812A0A">
      <w:pPr>
        <w:pStyle w:val="a3"/>
        <w:widowControl/>
        <w:numPr>
          <w:ilvl w:val="0"/>
          <w:numId w:val="32"/>
        </w:numPr>
        <w:tabs>
          <w:tab w:val="left" w:pos="0"/>
        </w:tabs>
        <w:ind w:left="0" w:firstLine="567"/>
        <w:jc w:val="both"/>
      </w:pPr>
      <w:proofErr w:type="spellStart"/>
      <w:r w:rsidRPr="00940184">
        <w:t>Modbus</w:t>
      </w:r>
      <w:proofErr w:type="spellEnd"/>
      <w:r w:rsidRPr="00940184">
        <w:t xml:space="preserve"> TCP;</w:t>
      </w:r>
    </w:p>
    <w:p w:rsidR="004218E9" w:rsidRPr="00940184" w:rsidRDefault="004218E9" w:rsidP="00812A0A">
      <w:pPr>
        <w:pStyle w:val="a3"/>
        <w:widowControl/>
        <w:numPr>
          <w:ilvl w:val="0"/>
          <w:numId w:val="32"/>
        </w:numPr>
        <w:tabs>
          <w:tab w:val="left" w:pos="0"/>
        </w:tabs>
        <w:ind w:left="0" w:firstLine="567"/>
        <w:jc w:val="both"/>
      </w:pPr>
      <w:r w:rsidRPr="00940184">
        <w:t>или другие протоколы по согласованию с Заказчиком.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Возможность загрузки/выгрузки данных мониторинга ОПРЧ через пользовательский интерфейс программного обеспечения (далее ПО).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Контроль информационного обмена и формирование сообщений в случае нарушения информационного обмена с источниками данных.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Выполнение расчёта в соответствии с алгоритмами анализа участия в ОПРЧ и формирование отчет:</w:t>
      </w:r>
    </w:p>
    <w:p w:rsidR="004218E9" w:rsidRPr="00B4121C" w:rsidRDefault="004218E9" w:rsidP="00812A0A">
      <w:pPr>
        <w:pStyle w:val="a3"/>
        <w:widowControl/>
        <w:numPr>
          <w:ilvl w:val="0"/>
          <w:numId w:val="32"/>
        </w:numPr>
        <w:ind w:left="0" w:firstLine="567"/>
        <w:jc w:val="both"/>
        <w:rPr>
          <w:lang w:val="en-US"/>
        </w:rPr>
      </w:pPr>
      <w:r w:rsidRPr="00B4121C">
        <w:rPr>
          <w:lang w:val="en-US"/>
        </w:rPr>
        <w:t xml:space="preserve">в </w:t>
      </w:r>
      <w:proofErr w:type="spellStart"/>
      <w:r w:rsidRPr="00B4121C">
        <w:rPr>
          <w:lang w:val="en-US"/>
        </w:rPr>
        <w:t>автоматическом</w:t>
      </w:r>
      <w:proofErr w:type="spellEnd"/>
      <w:r w:rsidRPr="00B4121C">
        <w:rPr>
          <w:lang w:val="en-US"/>
        </w:rPr>
        <w:t xml:space="preserve"> </w:t>
      </w:r>
      <w:proofErr w:type="spellStart"/>
      <w:r w:rsidRPr="00B4121C">
        <w:rPr>
          <w:lang w:val="en-US"/>
        </w:rPr>
        <w:t>режиме</w:t>
      </w:r>
      <w:proofErr w:type="spellEnd"/>
      <w:r w:rsidRPr="00B4121C">
        <w:rPr>
          <w:lang w:val="en-US"/>
        </w:rPr>
        <w:t xml:space="preserve">; </w:t>
      </w:r>
    </w:p>
    <w:p w:rsidR="004218E9" w:rsidRPr="00D7422D" w:rsidRDefault="004218E9" w:rsidP="00812A0A">
      <w:pPr>
        <w:pStyle w:val="a3"/>
        <w:widowControl/>
        <w:numPr>
          <w:ilvl w:val="0"/>
          <w:numId w:val="32"/>
        </w:numPr>
        <w:ind w:left="0" w:firstLine="567"/>
        <w:jc w:val="both"/>
      </w:pPr>
      <w:r w:rsidRPr="00D7422D">
        <w:t>при ручном запуске анализа участия в ОПРЧ на выбранном периоде времени.</w:t>
      </w:r>
    </w:p>
    <w:p w:rsidR="004218E9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Хранение данных мониторинга ОПРЧ в базе данных ПО</w:t>
      </w:r>
      <w:r>
        <w:t>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Срок хранения собранной информации должен составлять не менее 3 лет</w:t>
      </w:r>
      <w:r w:rsidRPr="00940184">
        <w:t>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Сохранение результата анализа участия в ОПРЧ (*.</w:t>
      </w:r>
      <w:proofErr w:type="spellStart"/>
      <w:r w:rsidRPr="00940184">
        <w:t>html</w:t>
      </w:r>
      <w:proofErr w:type="spellEnd"/>
      <w:r w:rsidRPr="00940184">
        <w:t>) и данных по участию (*.</w:t>
      </w:r>
      <w:proofErr w:type="spellStart"/>
      <w:r w:rsidRPr="00940184">
        <w:t>csv</w:t>
      </w:r>
      <w:proofErr w:type="spellEnd"/>
      <w:r w:rsidRPr="00940184">
        <w:t xml:space="preserve">) в файловом хранилище. 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t>Операторский интерфейс, предназначенный для настроек ПО, работы по запросу диспетчерского управления и графического мониторинга данных.</w:t>
      </w:r>
    </w:p>
    <w:p w:rsidR="004218E9" w:rsidRPr="00940184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940184">
        <w:lastRenderedPageBreak/>
        <w:t>Самодиагностика системы, мониторинг использования вычислительных ресурсов и формирование лога ошибок и сообщений.</w:t>
      </w:r>
    </w:p>
    <w:p w:rsidR="004218E9" w:rsidRPr="00ED7CED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ED7CED">
        <w:rPr>
          <w:b/>
        </w:rPr>
        <w:t>Требования к методам и средствам обеспечения информационной безопасности в технологических сегментах АСУ ТП</w:t>
      </w:r>
    </w:p>
    <w:p w:rsidR="004218E9" w:rsidRPr="00ED7CED" w:rsidRDefault="004218E9" w:rsidP="004218E9">
      <w:pPr>
        <w:pStyle w:val="2"/>
        <w:numPr>
          <w:ilvl w:val="1"/>
          <w:numId w:val="0"/>
        </w:numPr>
        <w:tabs>
          <w:tab w:val="num" w:pos="567"/>
        </w:tabs>
        <w:spacing w:before="0" w:after="0"/>
        <w:ind w:left="567" w:right="-5" w:hanging="567"/>
        <w:jc w:val="both"/>
        <w:rPr>
          <w:rFonts w:ascii="Times New Roman" w:hAnsi="Times New Roman" w:cs="Times New Roman"/>
          <w:i w:val="0"/>
        </w:rPr>
      </w:pPr>
      <w:r w:rsidRPr="00ED7CED">
        <w:rPr>
          <w:rFonts w:ascii="Times New Roman" w:hAnsi="Times New Roman" w:cs="Times New Roman"/>
          <w:i w:val="0"/>
        </w:rPr>
        <w:t>В приоритетном порядке подлежат применению средства защиты информации, встроенные в программное обеспечение и (или) программно-аппаратные средства.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Проектируемые средства защиты информации должны иметь действующие сертификаты ФСТЭК России и (или) ФСБ России.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 xml:space="preserve">Все проектируемые средства защиты информации не должны оказывать негативного влияния на технологические процессы. 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Все проектируемые средства защиты информации должны быть обеспечены гарантийной и (или) технической поддержкой на весь период эксплуатации.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В случае, если в ходе проектирования предусмотрена разработка ПО, в том числе ПО защиты информации, такая разработка проводится в соответствии со стандартами безопасной разработки ПО.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Должно быть предусмотрено горячее резервирование проектируемого оборудования, непосредственно участвующего в обработке технологической информации, если это допускается технологиями и протоколами работы АСУ ТП. Если горячее резервирование не допускается, должен быть предусмотрен «холодный резерв».</w:t>
      </w:r>
    </w:p>
    <w:p w:rsidR="004218E9" w:rsidRPr="00ED7CED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ED7CED">
        <w:rPr>
          <w:b/>
        </w:rPr>
        <w:t xml:space="preserve">Требования к надежности и отказоустойчивости сетевого и серверного оборудования </w:t>
      </w:r>
      <w:r w:rsidRPr="00ED7CED">
        <w:rPr>
          <w:b/>
          <w:lang w:eastAsia="en-US"/>
        </w:rPr>
        <w:t>ПТК «</w:t>
      </w:r>
      <w:r>
        <w:rPr>
          <w:b/>
          <w:lang w:eastAsia="en-US"/>
        </w:rPr>
        <w:t>Мониторинг ОПРЧ на Братской ГЭС</w:t>
      </w:r>
      <w:r w:rsidRPr="00ED7CED">
        <w:rPr>
          <w:b/>
          <w:lang w:eastAsia="en-US"/>
        </w:rPr>
        <w:t>»</w:t>
      </w:r>
    </w:p>
    <w:p w:rsidR="004218E9" w:rsidRPr="00ED7CED" w:rsidRDefault="004218E9" w:rsidP="004218E9">
      <w:pPr>
        <w:pStyle w:val="a3"/>
        <w:widowControl/>
        <w:numPr>
          <w:ilvl w:val="1"/>
          <w:numId w:val="31"/>
        </w:numPr>
        <w:autoSpaceDE/>
        <w:autoSpaceDN/>
        <w:adjustRightInd/>
        <w:contextualSpacing w:val="0"/>
        <w:jc w:val="both"/>
        <w:rPr>
          <w:vanish/>
        </w:rPr>
      </w:pP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 xml:space="preserve">Предлагаемые технические решения не должны снижать отказоустойчивость технологических сегментов АСУ ТП БГЭС. 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Технические решения должны обеспечить сохранение следующих функциональных возможностей при выходе из строя отдельных компонентов оборудования:</w:t>
      </w:r>
    </w:p>
    <w:p w:rsidR="004218E9" w:rsidRPr="00ED7CED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851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ED7CED">
        <w:rPr>
          <w:rFonts w:ascii="Times New Roman" w:hAnsi="Times New Roman"/>
          <w:sz w:val="24"/>
          <w:szCs w:val="24"/>
        </w:rPr>
        <w:t xml:space="preserve">функционирование АСУ ТП в целом; </w:t>
      </w:r>
    </w:p>
    <w:p w:rsidR="004218E9" w:rsidRPr="00ED7CED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851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ED7CED">
        <w:rPr>
          <w:rFonts w:ascii="Times New Roman" w:hAnsi="Times New Roman"/>
          <w:sz w:val="24"/>
          <w:szCs w:val="24"/>
        </w:rPr>
        <w:t>работу каналообразующего сетевого оборудования.</w:t>
      </w:r>
    </w:p>
    <w:p w:rsidR="004218E9" w:rsidRPr="00ED7CED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851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ED7CED">
        <w:rPr>
          <w:rFonts w:ascii="Times New Roman" w:hAnsi="Times New Roman"/>
          <w:sz w:val="24"/>
          <w:szCs w:val="24"/>
        </w:rPr>
        <w:t xml:space="preserve">Одного из двух комплектов ПТК ГРАРМ, ПТК ЭГР, серверов ввода-вывода и баз данных. </w:t>
      </w:r>
    </w:p>
    <w:p w:rsidR="004218E9" w:rsidRPr="00ED7CED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ED7CED">
        <w:rPr>
          <w:b/>
        </w:rPr>
        <w:t>Требования к размещению оборудования ПТК «</w:t>
      </w:r>
      <w:r>
        <w:rPr>
          <w:b/>
        </w:rPr>
        <w:t>Мониторинг ОПРЧ на Братской ГЭС</w:t>
      </w:r>
      <w:r w:rsidRPr="00ED7CED">
        <w:rPr>
          <w:b/>
        </w:rPr>
        <w:t>»</w:t>
      </w:r>
    </w:p>
    <w:p w:rsidR="004218E9" w:rsidRPr="00ED7CED" w:rsidRDefault="004218E9" w:rsidP="004218E9">
      <w:pPr>
        <w:pStyle w:val="a3"/>
        <w:widowControl/>
        <w:numPr>
          <w:ilvl w:val="1"/>
          <w:numId w:val="31"/>
        </w:numPr>
        <w:autoSpaceDE/>
        <w:autoSpaceDN/>
        <w:adjustRightInd/>
        <w:contextualSpacing w:val="0"/>
        <w:jc w:val="both"/>
        <w:rPr>
          <w:vanish/>
        </w:rPr>
      </w:pP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Монтаж оборудования и установка программного обеспечения должно осуществляться в серверных АСУТП существующих действующих шкаф</w:t>
      </w:r>
      <w:r>
        <w:t>ах</w:t>
      </w:r>
      <w:r w:rsidRPr="00ED7CED">
        <w:t xml:space="preserve"> с 19” профилем (сервер «Сервер шлюз №1» и «Сервер шлюз №2).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 xml:space="preserve">В зависимости от мест размещения оборудования к оборудованию могут быть предъявлены дополнительные требования по электромагнитной совместимости, </w:t>
      </w:r>
      <w:proofErr w:type="spellStart"/>
      <w:r w:rsidRPr="00ED7CED">
        <w:t>вибро</w:t>
      </w:r>
      <w:proofErr w:type="spellEnd"/>
      <w:r w:rsidRPr="00ED7CED">
        <w:t xml:space="preserve">- и </w:t>
      </w:r>
      <w:proofErr w:type="spellStart"/>
      <w:r w:rsidRPr="00ED7CED">
        <w:t>пылезащите</w:t>
      </w:r>
      <w:proofErr w:type="spellEnd"/>
      <w:r w:rsidRPr="00ED7CED">
        <w:t>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Технические средства системы должны быть выполнены по модульному принципу с использованием стандартных средств вычислительной техники и локально вычислительной сети в промышленном исполнении с пассивной системой вентиляции.</w:t>
      </w:r>
    </w:p>
    <w:p w:rsidR="004218E9" w:rsidRPr="00ED7CED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ED7CED">
        <w:rPr>
          <w:b/>
        </w:rPr>
        <w:t>Требования к системе электропитания оборудования ПТК «</w:t>
      </w:r>
      <w:r>
        <w:rPr>
          <w:b/>
        </w:rPr>
        <w:t>Мониторинг ОПРЧ на Братской ГЭС</w:t>
      </w:r>
      <w:r w:rsidRPr="00ED7CED">
        <w:rPr>
          <w:b/>
        </w:rPr>
        <w:t>»</w:t>
      </w:r>
    </w:p>
    <w:p w:rsidR="004218E9" w:rsidRPr="00ED7CED" w:rsidRDefault="004218E9" w:rsidP="004218E9">
      <w:pPr>
        <w:pStyle w:val="a3"/>
        <w:widowControl/>
        <w:numPr>
          <w:ilvl w:val="1"/>
          <w:numId w:val="31"/>
        </w:numPr>
        <w:autoSpaceDE/>
        <w:autoSpaceDN/>
        <w:adjustRightInd/>
        <w:contextualSpacing w:val="0"/>
        <w:jc w:val="both"/>
        <w:rPr>
          <w:vanish/>
        </w:rPr>
      </w:pP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 xml:space="preserve">Система электропитания должна проектироваться в соответствии с «Правилами устройства электроустановок» (ПУЭ) и указанием класса </w:t>
      </w:r>
      <w:proofErr w:type="spellStart"/>
      <w:r w:rsidRPr="00ED7CED">
        <w:t>электроприемников</w:t>
      </w:r>
      <w:proofErr w:type="spellEnd"/>
      <w:r w:rsidRPr="00ED7CED">
        <w:t>.</w:t>
      </w:r>
    </w:p>
    <w:p w:rsidR="004218E9" w:rsidRPr="00ED7CED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Система электропитания должна обеспечивать надежное бесперебойное энергоснабжение оборудования переменным напряжением 220В, 50 Гц и постоянным напряжением 220В.</w:t>
      </w:r>
    </w:p>
    <w:p w:rsidR="004218E9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ED7CED">
        <w:t>Система электропитания должна обеспечить защиту оборудования от помех в электрической сети, а также временных отключений электроэнергии. Аппаратные и программные решения системы должны исключить риск возможной утраты данных вследствие аварии системы энергоснабжения.</w:t>
      </w:r>
    </w:p>
    <w:p w:rsidR="004218E9" w:rsidRPr="001D5B2D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C43A40">
        <w:rPr>
          <w:b/>
        </w:rPr>
        <w:lastRenderedPageBreak/>
        <w:t>Требования к шкаф</w:t>
      </w:r>
      <w:r>
        <w:rPr>
          <w:b/>
        </w:rPr>
        <w:t xml:space="preserve">у </w:t>
      </w:r>
      <w:r w:rsidRPr="00ED7CED">
        <w:rPr>
          <w:b/>
        </w:rPr>
        <w:t>ПТК «</w:t>
      </w:r>
      <w:r>
        <w:rPr>
          <w:b/>
        </w:rPr>
        <w:t>Мониторинг ОПРЧ на Братской ГЭС</w:t>
      </w:r>
      <w:r w:rsidRPr="00ED7CED">
        <w:rPr>
          <w:b/>
        </w:rPr>
        <w:t>»</w:t>
      </w:r>
    </w:p>
    <w:p w:rsidR="004218E9" w:rsidRPr="00C43A40" w:rsidRDefault="004218E9" w:rsidP="00F41CDC">
      <w:pPr>
        <w:pStyle w:val="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При необходимости установки нового оборудовании и невозможности размещения его в существующих шкафах предусмотреть установку его в новых шкафах стандартных габаритов 2000х600х1000 мм (</w:t>
      </w:r>
      <w:proofErr w:type="spellStart"/>
      <w:r w:rsidRPr="00C43A40">
        <w:t>ВхШхГ</w:t>
      </w:r>
      <w:proofErr w:type="spellEnd"/>
      <w:r w:rsidRPr="00C43A40">
        <w:t>) двустороннего обслуживания с цоколем высотой 200 мм над уровнем пола. Вход контрольных кабелей предусмотреть снизу шкафа.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Предусмотреть маркировочные колодки для рядов зажимов цепей различного назначения. Нумерацию зажимов в пределах одной панели выполнять сквозной.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 xml:space="preserve">Предусмотреть применение в шкафах прозрачных </w:t>
      </w:r>
      <w:proofErr w:type="spellStart"/>
      <w:r w:rsidRPr="00C43A40">
        <w:t>шильдиков</w:t>
      </w:r>
      <w:proofErr w:type="spellEnd"/>
      <w:r w:rsidRPr="00C43A40">
        <w:t xml:space="preserve"> для маркировки проводов, монтажных единиц, диспетчерских наименований, кабельных бирок.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Двери шкафов с лицевой стороны должны быть прозрачными одностворчатыми, а двери с задней стороны, металлическими двухстворчатыми.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Двери шкафов должны оснащаться замками под 4-гранный ключ 8 мм.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На дверях шкафов разместить знак «Осторожно электрическое напряжение».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Для заземления установленного оборудования, экранов кабелей и др. устройств внутри шкафа предусмотреть специальную медную шину (специальное устройство). Заземление экранов контрольных кабелей выполнить согласно требованиям НТД.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При заземлении экранов контрольных кабелей с двух сторон предусмотреть их проверку на термическую стойкость в соответствии с СО 34.35.311-2004 «Методические указания по определению электромагнитной обстановки и совместимости на электрических станциях и подстанциях».</w:t>
      </w:r>
    </w:p>
    <w:p w:rsidR="004218E9" w:rsidRPr="00C43A40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Организовать пылезащищенные кабельные проходы.</w:t>
      </w:r>
    </w:p>
    <w:p w:rsidR="004218E9" w:rsidRDefault="004218E9" w:rsidP="00F41CDC">
      <w:pPr>
        <w:pStyle w:val="11"/>
        <w:numPr>
          <w:ilvl w:val="2"/>
          <w:numId w:val="25"/>
        </w:numPr>
        <w:tabs>
          <w:tab w:val="left" w:pos="1120"/>
        </w:tabs>
        <w:ind w:left="0" w:firstLine="851"/>
        <w:jc w:val="both"/>
      </w:pPr>
      <w:r w:rsidRPr="00C43A40">
        <w:t>Шкаф должен соответствовать группе механического исполнения в части воздействия механических факторов внешней среды М39 по ГОСТ 17516.1-90.</w:t>
      </w:r>
    </w:p>
    <w:p w:rsidR="004218E9" w:rsidRPr="00604318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</w:pPr>
      <w:r w:rsidRPr="00604318">
        <w:rPr>
          <w:b/>
        </w:rPr>
        <w:t>Требования к исполнителю</w:t>
      </w:r>
    </w:p>
    <w:p w:rsidR="004218E9" w:rsidRPr="00604318" w:rsidRDefault="004218E9" w:rsidP="004218E9">
      <w:pPr>
        <w:pStyle w:val="a3"/>
        <w:widowControl/>
        <w:numPr>
          <w:ilvl w:val="1"/>
          <w:numId w:val="31"/>
        </w:numPr>
        <w:autoSpaceDE/>
        <w:autoSpaceDN/>
        <w:adjustRightInd/>
        <w:contextualSpacing w:val="0"/>
        <w:jc w:val="both"/>
        <w:rPr>
          <w:vanish/>
          <w:sz w:val="28"/>
          <w:szCs w:val="28"/>
        </w:rPr>
      </w:pPr>
    </w:p>
    <w:p w:rsidR="004218E9" w:rsidRPr="002B123C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604318">
        <w:t>В проектной документации должно быть прописаны требования к изготовителю ПТК «</w:t>
      </w:r>
      <w:r>
        <w:t>Мониторинг ОПРЧ на Братской ГЭС</w:t>
      </w:r>
      <w:r w:rsidRPr="00604318">
        <w:t>» в которых детально зафиксированы обязанность в течении 3-х лет с момента ввода в промышленную эксплуатацию разработчик ПО и исполнитель по проекту обязаны осуществлять бесплатную техническое сопровождение поддержку, а при необходимости обновлять версию ПО для приведения в соответствие вновь вводимых НДТ в области ОПРЧ или информационной безопасности в рамках гарантийных обязательств.</w:t>
      </w:r>
    </w:p>
    <w:p w:rsidR="004218E9" w:rsidRPr="002B123C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2B123C">
        <w:t>Предусмотреть затраты на выполнение пуско-наладочных работ, приобретение ЗИП. Комплект ЗИП «в том числе и оборудования для обеспечения информационной безопасности» согласовать с Заказчиком и ДЗР Эн+ Менеджмент «Сибирь».</w:t>
      </w:r>
    </w:p>
    <w:p w:rsidR="004218E9" w:rsidRPr="002B123C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2B123C">
        <w:t>Предусмотреть затраты на выполнение пуско-наладочных работ, внесение изменений в существующие системы ПТК ЭГР, ПТК ГРАРМ, Серверов ввода вывода и баз данных системы ГРАРМ</w:t>
      </w:r>
      <w:r w:rsidRPr="002B123C" w:rsidDel="00605FAF">
        <w:t xml:space="preserve"> </w:t>
      </w:r>
      <w:r w:rsidRPr="002B123C">
        <w:t>БГЭС.</w:t>
      </w:r>
    </w:p>
    <w:p w:rsidR="004218E9" w:rsidRPr="002B123C" w:rsidRDefault="004218E9" w:rsidP="00F41CDC">
      <w:pPr>
        <w:pStyle w:val="11"/>
        <w:numPr>
          <w:ilvl w:val="2"/>
          <w:numId w:val="25"/>
        </w:numPr>
        <w:tabs>
          <w:tab w:val="left" w:pos="1134"/>
        </w:tabs>
        <w:ind w:left="0" w:firstLine="851"/>
        <w:jc w:val="both"/>
      </w:pPr>
      <w:r w:rsidRPr="002B123C">
        <w:t>Разработать программу и методику испытаний ПТК «</w:t>
      </w:r>
      <w:r>
        <w:t>Мониторинг ОПРЧ на Братской ГЭС</w:t>
      </w:r>
      <w:r w:rsidRPr="002B123C">
        <w:t>».</w:t>
      </w:r>
    </w:p>
    <w:p w:rsidR="004218E9" w:rsidRPr="002B123C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ind w:left="0" w:firstLine="425"/>
        <w:jc w:val="both"/>
        <w:rPr>
          <w:b/>
        </w:rPr>
      </w:pPr>
      <w:r w:rsidRPr="002B123C">
        <w:rPr>
          <w:b/>
        </w:rPr>
        <w:t>Требования к составу и содержанию проектно-изыскательских работ по внедрению ПТК «</w:t>
      </w:r>
      <w:r>
        <w:rPr>
          <w:b/>
        </w:rPr>
        <w:t>Мониторинг ОПРЧ на Братской ГЭС</w:t>
      </w:r>
      <w:r w:rsidRPr="002B123C">
        <w:rPr>
          <w:b/>
        </w:rPr>
        <w:t>»</w:t>
      </w:r>
    </w:p>
    <w:p w:rsidR="004218E9" w:rsidRPr="002B123C" w:rsidRDefault="004218E9" w:rsidP="00BA2756">
      <w:pPr>
        <w:pStyle w:val="11"/>
        <w:numPr>
          <w:ilvl w:val="2"/>
          <w:numId w:val="25"/>
        </w:numPr>
        <w:tabs>
          <w:tab w:val="left" w:pos="0"/>
        </w:tabs>
        <w:ind w:left="0" w:firstLine="851"/>
        <w:jc w:val="both"/>
      </w:pPr>
      <w:r w:rsidRPr="002B123C">
        <w:t>В рамках настоящих требований Подрядчиком должны быть выполнены следующие работы:</w:t>
      </w:r>
    </w:p>
    <w:p w:rsidR="004218E9" w:rsidRPr="002B123C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обследование текущего состояния технологических сетей, систем АСУ ТП;</w:t>
      </w:r>
    </w:p>
    <w:p w:rsidR="004218E9" w:rsidRPr="002B123C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0"/>
        </w:tabs>
        <w:spacing w:before="0" w:after="0"/>
        <w:ind w:left="0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анализ поставленных задач и определение возможности их реализации;</w:t>
      </w:r>
    </w:p>
    <w:p w:rsidR="004218E9" w:rsidRPr="002B123C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0"/>
        </w:tabs>
        <w:spacing w:before="0" w:after="0"/>
        <w:ind w:left="0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Разработка технических решений на выполнение проектных работ по модернизации существующих ПТК АСУ ТП (ЭГР, ГРАРМ, сервера ввода-вывода ГРАРМ) для осуществления передачи необходимой информации из данных систем в ПТК «</w:t>
      </w:r>
      <w:r>
        <w:rPr>
          <w:rFonts w:ascii="Times New Roman" w:hAnsi="Times New Roman"/>
          <w:sz w:val="24"/>
          <w:szCs w:val="24"/>
        </w:rPr>
        <w:t>Мониторинг ОПРЧ на Братской ГЭС</w:t>
      </w:r>
      <w:r w:rsidRPr="002B123C">
        <w:rPr>
          <w:rFonts w:ascii="Times New Roman" w:hAnsi="Times New Roman"/>
          <w:sz w:val="24"/>
          <w:szCs w:val="24"/>
        </w:rPr>
        <w:t>». Данные решения должны быть отражены в ТЗ и проекте по внедрению ПТК «</w:t>
      </w:r>
      <w:r>
        <w:rPr>
          <w:rFonts w:ascii="Times New Roman" w:hAnsi="Times New Roman"/>
          <w:sz w:val="24"/>
          <w:szCs w:val="24"/>
        </w:rPr>
        <w:t>Мониторинг ОПРЧ на Братской ГЭС</w:t>
      </w:r>
      <w:r w:rsidRPr="002B123C">
        <w:rPr>
          <w:rFonts w:ascii="Times New Roman" w:hAnsi="Times New Roman"/>
          <w:sz w:val="24"/>
          <w:szCs w:val="24"/>
        </w:rPr>
        <w:t>»;</w:t>
      </w:r>
    </w:p>
    <w:p w:rsidR="004218E9" w:rsidRPr="002B123C" w:rsidRDefault="004218E9" w:rsidP="00812A0A">
      <w:pPr>
        <w:pStyle w:val="Unnumberedlist"/>
        <w:numPr>
          <w:ilvl w:val="1"/>
          <w:numId w:val="30"/>
        </w:numPr>
        <w:tabs>
          <w:tab w:val="clear" w:pos="1440"/>
          <w:tab w:val="left" w:pos="0"/>
        </w:tabs>
        <w:spacing w:before="0" w:after="0"/>
        <w:ind w:left="0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Разработка технического задания на выполнение проектных работ по внедрению ПТК «</w:t>
      </w:r>
      <w:r>
        <w:rPr>
          <w:rFonts w:ascii="Times New Roman" w:hAnsi="Times New Roman"/>
          <w:sz w:val="24"/>
          <w:szCs w:val="24"/>
        </w:rPr>
        <w:t>Мониторинг ОПРЧ на Братской ГЭС</w:t>
      </w:r>
      <w:r w:rsidRPr="002B123C">
        <w:rPr>
          <w:rFonts w:ascii="Times New Roman" w:hAnsi="Times New Roman"/>
          <w:sz w:val="24"/>
          <w:szCs w:val="24"/>
        </w:rPr>
        <w:t>»;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lastRenderedPageBreak/>
        <w:t>Разработка Технического проекта на создание ПТК «</w:t>
      </w:r>
      <w:r>
        <w:rPr>
          <w:rFonts w:ascii="Times New Roman" w:hAnsi="Times New Roman"/>
          <w:sz w:val="24"/>
          <w:szCs w:val="24"/>
        </w:rPr>
        <w:t>Мониторинг ОПРЧ на Братской ГЭС</w:t>
      </w:r>
      <w:r w:rsidRPr="002B123C">
        <w:rPr>
          <w:rFonts w:ascii="Times New Roman" w:hAnsi="Times New Roman"/>
          <w:sz w:val="24"/>
          <w:szCs w:val="24"/>
        </w:rPr>
        <w:t>»;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Разработка сметной документации;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Разработка комплекта проектной, конструкторской и эксплуатационной документации;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Разработка Рабочей документации.</w:t>
      </w:r>
    </w:p>
    <w:p w:rsidR="004218E9" w:rsidRPr="002B123C" w:rsidRDefault="004218E9" w:rsidP="00D81D9B">
      <w:pPr>
        <w:pStyle w:val="11"/>
        <w:numPr>
          <w:ilvl w:val="2"/>
          <w:numId w:val="25"/>
        </w:numPr>
        <w:tabs>
          <w:tab w:val="left" w:pos="0"/>
          <w:tab w:val="num" w:pos="567"/>
        </w:tabs>
        <w:ind w:left="0" w:firstLine="567"/>
        <w:jc w:val="both"/>
      </w:pPr>
      <w:r w:rsidRPr="002B123C">
        <w:t>По результатам обследования должен быть подготовлен отчет, отражающий информацию необходимую для разработки технического задания и проекта.</w:t>
      </w:r>
    </w:p>
    <w:p w:rsidR="004218E9" w:rsidRPr="002B123C" w:rsidRDefault="004218E9" w:rsidP="00D81D9B">
      <w:pPr>
        <w:pStyle w:val="11"/>
        <w:numPr>
          <w:ilvl w:val="2"/>
          <w:numId w:val="25"/>
        </w:numPr>
        <w:tabs>
          <w:tab w:val="left" w:pos="0"/>
          <w:tab w:val="num" w:pos="567"/>
        </w:tabs>
        <w:ind w:left="0" w:firstLine="567"/>
        <w:jc w:val="both"/>
      </w:pPr>
      <w:r w:rsidRPr="002B123C">
        <w:t>Рабочая (эксплуатационная) документация должна содержать: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описание архитектуры системы;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схемы, планы (чертежи) размещения оборудования и прокладки кабельных связей;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порядок и параметры настройки программных и программно-аппаратных средств, в том числе средств защиты информации;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спецификацию оборудования, в том числе ЗИП;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кабельные журналы;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567"/>
        </w:tabs>
        <w:spacing w:before="0" w:after="0"/>
        <w:ind w:left="0" w:firstLine="567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руководства пользователя и системного программиста по эксплуатации программных и программно-аппаратных средств, в том числе средств защиты информации (правила безопасной эксплуатации).</w:t>
      </w:r>
    </w:p>
    <w:p w:rsidR="004218E9" w:rsidRPr="002B123C" w:rsidRDefault="004218E9" w:rsidP="00BA2756">
      <w:pPr>
        <w:pStyle w:val="11"/>
        <w:numPr>
          <w:ilvl w:val="1"/>
          <w:numId w:val="25"/>
        </w:numPr>
        <w:tabs>
          <w:tab w:val="left" w:pos="0"/>
          <w:tab w:val="left" w:pos="993"/>
        </w:tabs>
        <w:spacing w:before="120" w:after="120"/>
        <w:ind w:left="0" w:firstLine="425"/>
        <w:jc w:val="both"/>
        <w:rPr>
          <w:b/>
        </w:rPr>
      </w:pPr>
      <w:r w:rsidRPr="002B123C">
        <w:rPr>
          <w:b/>
        </w:rPr>
        <w:t>Предоставление исходных данных Подрядчику</w:t>
      </w:r>
    </w:p>
    <w:p w:rsidR="004218E9" w:rsidRPr="002B123C" w:rsidRDefault="004218E9" w:rsidP="00D81D9B">
      <w:pPr>
        <w:pStyle w:val="11"/>
        <w:numPr>
          <w:ilvl w:val="2"/>
          <w:numId w:val="25"/>
        </w:numPr>
        <w:tabs>
          <w:tab w:val="left" w:pos="0"/>
        </w:tabs>
        <w:ind w:left="0" w:firstLine="426"/>
        <w:jc w:val="both"/>
      </w:pPr>
      <w:r w:rsidRPr="002B123C">
        <w:t xml:space="preserve">При проведении работ Заказчик должен предоставить Подрядчику в рамках проведения </w:t>
      </w:r>
      <w:proofErr w:type="spellStart"/>
      <w:r w:rsidRPr="002B123C">
        <w:t>предпроектного</w:t>
      </w:r>
      <w:proofErr w:type="spellEnd"/>
      <w:r w:rsidRPr="002B123C">
        <w:t xml:space="preserve"> обследования следующую информацию в качестве исходных данных для разработки системы: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851"/>
        </w:tabs>
        <w:spacing w:before="0" w:after="0"/>
        <w:ind w:left="851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информацию по технологическим сетям и системам;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851"/>
        </w:tabs>
        <w:spacing w:before="0" w:after="0"/>
        <w:ind w:left="851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информацию по существующим планам IP-адресации, IP-маршрутизации в информационных системах АСУ ТП Заказчика;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851"/>
        </w:tabs>
        <w:spacing w:before="0" w:after="0"/>
        <w:ind w:left="851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информацию по существующим сетям электропитания и заземления, точкам подключения оборудования, запасам по мощности в точках подключения, характеристикам заземления;</w:t>
      </w:r>
    </w:p>
    <w:p w:rsidR="004218E9" w:rsidRPr="002B123C" w:rsidRDefault="004218E9" w:rsidP="00D81D9B">
      <w:pPr>
        <w:pStyle w:val="Unnumberedlist"/>
        <w:numPr>
          <w:ilvl w:val="1"/>
          <w:numId w:val="30"/>
        </w:numPr>
        <w:tabs>
          <w:tab w:val="clear" w:pos="1440"/>
          <w:tab w:val="left" w:pos="0"/>
          <w:tab w:val="num" w:pos="851"/>
        </w:tabs>
        <w:spacing w:before="0" w:after="0"/>
        <w:ind w:left="851" w:firstLine="426"/>
        <w:rPr>
          <w:rFonts w:ascii="Times New Roman" w:hAnsi="Times New Roman"/>
          <w:sz w:val="24"/>
          <w:szCs w:val="24"/>
        </w:rPr>
      </w:pPr>
      <w:r w:rsidRPr="002B123C">
        <w:rPr>
          <w:rFonts w:ascii="Times New Roman" w:hAnsi="Times New Roman"/>
          <w:sz w:val="24"/>
          <w:szCs w:val="24"/>
        </w:rPr>
        <w:t>другие необходимые данные для выполнения работ по настоящему Документу.</w:t>
      </w:r>
    </w:p>
    <w:p w:rsidR="004218E9" w:rsidRPr="002B123C" w:rsidRDefault="004218E9" w:rsidP="00D81D9B">
      <w:pPr>
        <w:pStyle w:val="11"/>
        <w:numPr>
          <w:ilvl w:val="2"/>
          <w:numId w:val="25"/>
        </w:numPr>
        <w:tabs>
          <w:tab w:val="left" w:pos="0"/>
        </w:tabs>
        <w:ind w:left="0" w:firstLine="567"/>
        <w:jc w:val="both"/>
      </w:pPr>
      <w:r w:rsidRPr="002B123C">
        <w:t>Форма предоставления исходных данных согласуются представителями Заказчика и Подрядчика в частном порядке в процессе выполнения работ.</w:t>
      </w:r>
    </w:p>
    <w:p w:rsidR="004218E9" w:rsidRPr="002B123C" w:rsidRDefault="004218E9" w:rsidP="00D81D9B">
      <w:pPr>
        <w:pStyle w:val="11"/>
        <w:numPr>
          <w:ilvl w:val="2"/>
          <w:numId w:val="25"/>
        </w:numPr>
        <w:tabs>
          <w:tab w:val="left" w:pos="0"/>
        </w:tabs>
        <w:ind w:left="0" w:firstLine="567"/>
        <w:jc w:val="both"/>
      </w:pPr>
      <w:r w:rsidRPr="002B123C">
        <w:t>Подрядчик обязан действовать в соответствии с Соглашением о неразглашении и не вправе передавать предоставленную Заказчиком в рамках работ информацию третьим лицам без согласия Заказчика.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tabs>
          <w:tab w:val="left" w:pos="993"/>
        </w:tabs>
        <w:spacing w:before="120" w:after="120"/>
        <w:jc w:val="both"/>
        <w:rPr>
          <w:b/>
        </w:rPr>
      </w:pPr>
      <w:r w:rsidRPr="00C43A40">
        <w:rPr>
          <w:b/>
        </w:rPr>
        <w:t>Особые условия</w:t>
      </w:r>
    </w:p>
    <w:p w:rsidR="004218E9" w:rsidRPr="00D81D9B" w:rsidRDefault="004218E9" w:rsidP="004218E9">
      <w:pPr>
        <w:pStyle w:val="11"/>
        <w:ind w:firstLine="709"/>
        <w:jc w:val="both"/>
      </w:pPr>
      <w:r w:rsidRPr="00C43A40">
        <w:t>Действующее предприятие</w:t>
      </w:r>
      <w:r w:rsidR="00D81D9B">
        <w:t>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tabs>
          <w:tab w:val="left" w:pos="993"/>
        </w:tabs>
        <w:spacing w:before="120" w:after="120"/>
        <w:jc w:val="both"/>
        <w:rPr>
          <w:b/>
        </w:rPr>
      </w:pPr>
      <w:r w:rsidRPr="00C43A40">
        <w:rPr>
          <w:b/>
        </w:rPr>
        <w:t xml:space="preserve">Дополнительные требования </w:t>
      </w:r>
    </w:p>
    <w:p w:rsidR="004218E9" w:rsidRPr="00C43A40" w:rsidRDefault="004218E9" w:rsidP="004218E9">
      <w:pPr>
        <w:pStyle w:val="11"/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 w:rsidRPr="00C43A40">
        <w:t>Основные проектные решения предварительно согласовывать с Заказчиком, ОРЗЭА и ДЗР Эн+ Менеджмент «Сибирь».</w:t>
      </w:r>
    </w:p>
    <w:p w:rsidR="004218E9" w:rsidRPr="00C43A40" w:rsidRDefault="004218E9" w:rsidP="004218E9">
      <w:pPr>
        <w:pStyle w:val="11"/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 w:rsidRPr="00C43A40">
        <w:t xml:space="preserve">Сметную документацию выполнить в соответствии с «Требованиями к сметной документации в составе ПИР», утвержденными приказом ООО «ЕвроСибЭнерго-Гидрогенерация» от </w:t>
      </w:r>
      <w:r w:rsidR="00143675">
        <w:t>02</w:t>
      </w:r>
      <w:r w:rsidRPr="00C43A40">
        <w:t>.</w:t>
      </w:r>
      <w:r w:rsidR="00143675">
        <w:t>12</w:t>
      </w:r>
      <w:r w:rsidRPr="00C43A40">
        <w:t xml:space="preserve">.2020 № </w:t>
      </w:r>
      <w:r w:rsidR="00143675">
        <w:t>443</w:t>
      </w:r>
      <w:r w:rsidRPr="00C43A40">
        <w:t xml:space="preserve"> и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«ЕвроСибЭнерго-Гидрогенерация». </w:t>
      </w:r>
    </w:p>
    <w:p w:rsidR="004218E9" w:rsidRPr="00C43A40" w:rsidRDefault="004218E9" w:rsidP="004218E9">
      <w:pPr>
        <w:pStyle w:val="11"/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 w:rsidRPr="00C43A40">
        <w:t xml:space="preserve">Проектная и рабочая документация при направлении на согласование Заказчику в полном объёме (включая обосновывающие расчеты) предоставляется на бумажном носителе в 3 (трех) экз., в 2 (двух) экземплярах в электронном виде (в формате MS </w:t>
      </w:r>
      <w:proofErr w:type="spellStart"/>
      <w:r w:rsidRPr="00C43A40">
        <w:t>Word</w:t>
      </w:r>
      <w:proofErr w:type="spellEnd"/>
      <w:r w:rsidRPr="00C43A40">
        <w:t xml:space="preserve">, </w:t>
      </w:r>
      <w:proofErr w:type="spellStart"/>
      <w:r w:rsidRPr="00C43A40">
        <w:t>Adobe</w:t>
      </w:r>
      <w:proofErr w:type="spellEnd"/>
      <w:r w:rsidRPr="00C43A40">
        <w:t xml:space="preserve"> </w:t>
      </w:r>
      <w:proofErr w:type="spellStart"/>
      <w:r w:rsidRPr="00C43A40">
        <w:t>Acrobat</w:t>
      </w:r>
      <w:proofErr w:type="spellEnd"/>
      <w:r w:rsidRPr="00C43A40">
        <w:t xml:space="preserve">, схемы и графические материалы в редактируемом формате MS </w:t>
      </w:r>
      <w:proofErr w:type="spellStart"/>
      <w:r w:rsidRPr="00C43A40">
        <w:t>Visio</w:t>
      </w:r>
      <w:proofErr w:type="spellEnd"/>
      <w:r w:rsidRPr="00C43A40">
        <w:t xml:space="preserve">) на USB </w:t>
      </w:r>
      <w:proofErr w:type="spellStart"/>
      <w:r w:rsidRPr="00C43A40">
        <w:t>Flash</w:t>
      </w:r>
      <w:proofErr w:type="spellEnd"/>
      <w:r w:rsidRPr="00C43A40">
        <w:t>-накопителе.</w:t>
      </w:r>
    </w:p>
    <w:p w:rsidR="004218E9" w:rsidRPr="00C43A40" w:rsidRDefault="004218E9" w:rsidP="004218E9">
      <w:pPr>
        <w:pStyle w:val="11"/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 w:rsidRPr="00C43A40">
        <w:t>Не допускается передача документации Заказчику в электронном виде с пофайловым разделением страниц.</w:t>
      </w:r>
    </w:p>
    <w:p w:rsidR="004218E9" w:rsidRPr="00C43A40" w:rsidRDefault="004218E9" w:rsidP="004218E9">
      <w:pPr>
        <w:pStyle w:val="11"/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 w:rsidRPr="00C43A40">
        <w:lastRenderedPageBreak/>
        <w:t>Разработанная проектная, рабочая и конкурсная документации являются конфиденциальной собственностью Заказчика и передача ее третьим лицам без его согласия запрещается.</w:t>
      </w:r>
    </w:p>
    <w:p w:rsidR="004218E9" w:rsidRPr="00C43A40" w:rsidRDefault="004218E9" w:rsidP="004218E9">
      <w:pPr>
        <w:pStyle w:val="11"/>
        <w:numPr>
          <w:ilvl w:val="1"/>
          <w:numId w:val="27"/>
        </w:numPr>
        <w:tabs>
          <w:tab w:val="left" w:pos="1134"/>
        </w:tabs>
        <w:ind w:left="0" w:firstLine="709"/>
        <w:jc w:val="both"/>
      </w:pPr>
      <w:r w:rsidRPr="00C43A40">
        <w:t>При направлении откорректированных материалов проектной и рабочей документации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tabs>
          <w:tab w:val="left" w:pos="993"/>
        </w:tabs>
        <w:spacing w:before="120" w:after="120"/>
        <w:jc w:val="both"/>
        <w:rPr>
          <w:b/>
        </w:rPr>
      </w:pPr>
      <w:r w:rsidRPr="00C43A40">
        <w:rPr>
          <w:b/>
        </w:rPr>
        <w:t>Срок выполнения проектной документации</w:t>
      </w:r>
    </w:p>
    <w:p w:rsidR="004218E9" w:rsidRPr="00C43A40" w:rsidRDefault="004218E9" w:rsidP="004218E9">
      <w:pPr>
        <w:pStyle w:val="11"/>
        <w:ind w:firstLine="720"/>
        <w:jc w:val="both"/>
      </w:pPr>
      <w:r w:rsidRPr="00C43A40">
        <w:t>Сроки передачи проектной и рабочей документации в соответствии с календарным планом к договору.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tabs>
          <w:tab w:val="left" w:pos="993"/>
        </w:tabs>
        <w:spacing w:before="120" w:after="120"/>
        <w:jc w:val="both"/>
        <w:rPr>
          <w:b/>
        </w:rPr>
      </w:pPr>
      <w:r w:rsidRPr="00C43A40">
        <w:rPr>
          <w:b/>
        </w:rPr>
        <w:t>Проектная организация</w:t>
      </w:r>
    </w:p>
    <w:p w:rsidR="004218E9" w:rsidRPr="00C43A40" w:rsidRDefault="004218E9" w:rsidP="004218E9">
      <w:pPr>
        <w:pStyle w:val="1"/>
        <w:ind w:firstLine="426"/>
        <w:jc w:val="both"/>
        <w:rPr>
          <w:b/>
        </w:rPr>
      </w:pPr>
      <w:r w:rsidRPr="00C43A40">
        <w:t>Выбор проектной организации проводится на конкурсной основе.</w:t>
      </w:r>
    </w:p>
    <w:p w:rsidR="004218E9" w:rsidRPr="00C43A40" w:rsidRDefault="004218E9" w:rsidP="004218E9">
      <w:pPr>
        <w:pStyle w:val="11"/>
        <w:numPr>
          <w:ilvl w:val="0"/>
          <w:numId w:val="25"/>
        </w:numPr>
        <w:tabs>
          <w:tab w:val="left" w:pos="993"/>
        </w:tabs>
        <w:spacing w:before="120" w:after="120"/>
        <w:jc w:val="both"/>
        <w:rPr>
          <w:b/>
        </w:rPr>
      </w:pPr>
      <w:r w:rsidRPr="00C43A40">
        <w:rPr>
          <w:b/>
        </w:rPr>
        <w:t>Заказчик</w:t>
      </w:r>
    </w:p>
    <w:p w:rsidR="004218E9" w:rsidRPr="00C43A40" w:rsidRDefault="004218E9" w:rsidP="004218E9">
      <w:pPr>
        <w:pStyle w:val="11"/>
        <w:ind w:firstLine="720"/>
        <w:jc w:val="both"/>
      </w:pPr>
      <w:r w:rsidRPr="00C43A40">
        <w:t xml:space="preserve">Филиал ООО </w:t>
      </w:r>
      <w:r w:rsidR="00D81D9B">
        <w:t>«</w:t>
      </w:r>
      <w:r w:rsidRPr="00C43A40">
        <w:t>ЕвроСибЭнерго-Гидрогенерация</w:t>
      </w:r>
      <w:r w:rsidR="00D81D9B">
        <w:t>»</w:t>
      </w:r>
      <w:r w:rsidRPr="00C43A40">
        <w:t xml:space="preserve"> «Братская ГЭС».</w:t>
      </w:r>
    </w:p>
    <w:p w:rsidR="004218E9" w:rsidRPr="00C43A40" w:rsidRDefault="004218E9" w:rsidP="00D81D9B">
      <w:pPr>
        <w:pStyle w:val="11"/>
        <w:numPr>
          <w:ilvl w:val="0"/>
          <w:numId w:val="25"/>
        </w:numPr>
        <w:tabs>
          <w:tab w:val="left" w:pos="993"/>
        </w:tabs>
        <w:spacing w:before="120" w:after="120"/>
        <w:ind w:left="0" w:firstLine="0"/>
        <w:jc w:val="both"/>
        <w:rPr>
          <w:b/>
        </w:rPr>
      </w:pPr>
      <w:r w:rsidRPr="00C43A40">
        <w:rPr>
          <w:b/>
        </w:rPr>
        <w:t>Исходные данные</w:t>
      </w:r>
    </w:p>
    <w:p w:rsidR="004218E9" w:rsidRPr="00C43A40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jc w:val="both"/>
      </w:pPr>
      <w:r w:rsidRPr="00C43A40">
        <w:t>Исходные данные выдаются по письменному запросу проектной организации.</w:t>
      </w:r>
    </w:p>
    <w:p w:rsidR="004218E9" w:rsidRPr="00C43A40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jc w:val="both"/>
      </w:pPr>
      <w:r w:rsidRPr="00C43A40">
        <w:t>«Требования к сметной документации в составе ПИР» ООО «ЕвроСибЭнерго-Гидрогенерация».</w:t>
      </w:r>
    </w:p>
    <w:p w:rsidR="004218E9" w:rsidRDefault="004218E9" w:rsidP="004218E9">
      <w:pPr>
        <w:pStyle w:val="11"/>
        <w:numPr>
          <w:ilvl w:val="1"/>
          <w:numId w:val="25"/>
        </w:numPr>
        <w:tabs>
          <w:tab w:val="left" w:pos="993"/>
        </w:tabs>
        <w:spacing w:before="120" w:after="120"/>
        <w:jc w:val="both"/>
      </w:pPr>
      <w:r w:rsidRPr="00C43A40">
        <w:t>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«ЕвроСибЭнерго-Гидрогенерация».</w:t>
      </w:r>
    </w:p>
    <w:p w:rsidR="004218E9" w:rsidRDefault="004218E9" w:rsidP="004218E9">
      <w:pPr>
        <w:pStyle w:val="11"/>
        <w:tabs>
          <w:tab w:val="left" w:pos="993"/>
        </w:tabs>
        <w:spacing w:before="120" w:after="120"/>
        <w:ind w:left="786"/>
        <w:jc w:val="both"/>
      </w:pPr>
    </w:p>
    <w:p w:rsidR="004218E9" w:rsidRPr="00C43A40" w:rsidRDefault="004218E9" w:rsidP="004218E9">
      <w:pPr>
        <w:pStyle w:val="11"/>
        <w:tabs>
          <w:tab w:val="left" w:pos="993"/>
        </w:tabs>
        <w:spacing w:before="120" w:after="120"/>
        <w:ind w:left="786"/>
        <w:jc w:val="both"/>
      </w:pPr>
    </w:p>
    <w:p w:rsidR="00644E95" w:rsidRPr="001E0468" w:rsidRDefault="00644E95" w:rsidP="00E65E46">
      <w:pPr>
        <w:ind w:firstLine="598"/>
        <w:rPr>
          <w:sz w:val="22"/>
          <w:szCs w:val="22"/>
        </w:rPr>
      </w:pPr>
    </w:p>
    <w:p w:rsidR="0039673D" w:rsidRDefault="0039673D" w:rsidP="0039673D">
      <w:pPr>
        <w:rPr>
          <w:sz w:val="22"/>
          <w:szCs w:val="22"/>
        </w:rPr>
      </w:pPr>
    </w:p>
    <w:tbl>
      <w:tblPr>
        <w:tblW w:w="9730" w:type="dxa"/>
        <w:tblLook w:val="04A0" w:firstRow="1" w:lastRow="0" w:firstColumn="1" w:lastColumn="0" w:noHBand="0" w:noVBand="1"/>
      </w:tblPr>
      <w:tblGrid>
        <w:gridCol w:w="1261"/>
        <w:gridCol w:w="1260"/>
        <w:gridCol w:w="2867"/>
        <w:gridCol w:w="571"/>
        <w:gridCol w:w="1235"/>
        <w:gridCol w:w="2211"/>
        <w:gridCol w:w="325"/>
      </w:tblGrid>
      <w:tr w:rsidR="0039673D" w:rsidRPr="0039673D" w:rsidTr="0039673D">
        <w:trPr>
          <w:gridAfter w:val="1"/>
          <w:wAfter w:w="379" w:type="dxa"/>
          <w:trHeight w:val="315"/>
        </w:trPr>
        <w:tc>
          <w:tcPr>
            <w:tcW w:w="2520" w:type="dxa"/>
            <w:gridSpan w:val="2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  <w:r w:rsidRPr="0039673D">
              <w:rPr>
                <w:rFonts w:eastAsia="Times New Roman"/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2867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3964" w:type="dxa"/>
            <w:gridSpan w:val="3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ПОДРЯД</w:t>
            </w:r>
            <w:r w:rsidRPr="0039673D">
              <w:rPr>
                <w:rFonts w:eastAsia="Times New Roman"/>
                <w:b/>
                <w:bCs/>
                <w:sz w:val="22"/>
                <w:szCs w:val="22"/>
              </w:rPr>
              <w:t>ЧИК:</w:t>
            </w:r>
          </w:p>
        </w:tc>
      </w:tr>
      <w:tr w:rsidR="0039673D" w:rsidRPr="0039673D" w:rsidTr="0039673D">
        <w:trPr>
          <w:gridAfter w:val="1"/>
          <w:wAfter w:w="379" w:type="dxa"/>
          <w:trHeight w:val="930"/>
        </w:trPr>
        <w:tc>
          <w:tcPr>
            <w:tcW w:w="5387" w:type="dxa"/>
            <w:gridSpan w:val="3"/>
            <w:shd w:val="clear" w:color="auto" w:fill="auto"/>
            <w:vAlign w:val="center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 xml:space="preserve">Директор филиала                                                                                   ООО </w:t>
            </w:r>
            <w:r>
              <w:rPr>
                <w:rFonts w:eastAsia="Times New Roman"/>
              </w:rPr>
              <w:t>«</w:t>
            </w:r>
            <w:r w:rsidRPr="0039673D">
              <w:rPr>
                <w:rFonts w:eastAsia="Times New Roman"/>
              </w:rPr>
              <w:t>ЕвроСибЭнерго-Гидрогенерация</w:t>
            </w:r>
            <w:r>
              <w:rPr>
                <w:rFonts w:eastAsia="Times New Roman"/>
              </w:rPr>
              <w:t>»</w:t>
            </w:r>
            <w:r w:rsidRPr="0039673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«</w:t>
            </w:r>
            <w:r w:rsidRPr="0039673D">
              <w:rPr>
                <w:rFonts w:eastAsia="Times New Roman"/>
              </w:rPr>
              <w:t>Братская ГЭС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3964" w:type="dxa"/>
            <w:gridSpan w:val="3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39673D" w:rsidRPr="0039673D" w:rsidTr="0039673D">
        <w:trPr>
          <w:gridAfter w:val="1"/>
          <w:wAfter w:w="379" w:type="dxa"/>
          <w:trHeight w:val="4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>_____________ Е.В. Стрелков</w:t>
            </w:r>
          </w:p>
          <w:p w:rsid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>"____"____________ 2021 г.</w:t>
            </w:r>
          </w:p>
        </w:tc>
        <w:tc>
          <w:tcPr>
            <w:tcW w:w="3964" w:type="dxa"/>
            <w:gridSpan w:val="3"/>
          </w:tcPr>
          <w:p w:rsid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  <w:p w:rsid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 xml:space="preserve">_____________ </w:t>
            </w:r>
          </w:p>
          <w:p w:rsid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>"____"____________ 2021 г.</w:t>
            </w:r>
          </w:p>
        </w:tc>
      </w:tr>
      <w:tr w:rsidR="0039673D" w:rsidRPr="0039673D" w:rsidTr="0039673D">
        <w:trPr>
          <w:trHeight w:val="132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  <w:r w:rsidRPr="0039673D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  <w:r w:rsidRPr="0039673D">
              <w:rPr>
                <w:rFonts w:eastAsia="Times New Roman"/>
                <w:sz w:val="22"/>
                <w:szCs w:val="22"/>
              </w:rPr>
              <w:t>МП</w:t>
            </w:r>
          </w:p>
        </w:tc>
        <w:tc>
          <w:tcPr>
            <w:tcW w:w="1275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39673D" w:rsidRPr="0039673D" w:rsidTr="0039673D">
        <w:trPr>
          <w:trHeight w:val="255"/>
        </w:trPr>
        <w:tc>
          <w:tcPr>
            <w:tcW w:w="1260" w:type="dxa"/>
            <w:shd w:val="clear" w:color="auto" w:fill="auto"/>
            <w:noWrap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39673D" w:rsidRPr="0039673D" w:rsidTr="0039673D">
        <w:trPr>
          <w:trHeight w:val="1215"/>
        </w:trPr>
        <w:tc>
          <w:tcPr>
            <w:tcW w:w="5387" w:type="dxa"/>
            <w:gridSpan w:val="3"/>
            <w:shd w:val="clear" w:color="auto" w:fill="auto"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 xml:space="preserve">Главный инженер филиала </w:t>
            </w:r>
            <w:r w:rsidRPr="0039673D">
              <w:rPr>
                <w:rFonts w:eastAsia="Times New Roman"/>
              </w:rPr>
              <w:br/>
              <w:t xml:space="preserve">ООО </w:t>
            </w:r>
            <w:r>
              <w:rPr>
                <w:rFonts w:eastAsia="Times New Roman"/>
              </w:rPr>
              <w:t>«</w:t>
            </w:r>
            <w:r w:rsidRPr="0039673D">
              <w:rPr>
                <w:rFonts w:eastAsia="Times New Roman"/>
              </w:rPr>
              <w:t>ЕвроСибЭнерго-Гидрогенерация</w:t>
            </w:r>
            <w:r>
              <w:rPr>
                <w:rFonts w:eastAsia="Times New Roman"/>
              </w:rPr>
              <w:t>»</w:t>
            </w:r>
            <w:r w:rsidRPr="0039673D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«</w:t>
            </w:r>
            <w:r w:rsidRPr="0039673D">
              <w:rPr>
                <w:rFonts w:eastAsia="Times New Roman"/>
              </w:rPr>
              <w:t>Братская ГЭС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36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2832" w:type="dxa"/>
            <w:gridSpan w:val="2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39673D" w:rsidRPr="0039673D" w:rsidTr="0039673D">
        <w:trPr>
          <w:trHeight w:val="51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>______________ А.В. Боярский</w:t>
            </w:r>
          </w:p>
        </w:tc>
        <w:tc>
          <w:tcPr>
            <w:tcW w:w="236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2832" w:type="dxa"/>
            <w:gridSpan w:val="2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39673D" w:rsidRPr="0039673D" w:rsidTr="0039673D">
        <w:trPr>
          <w:trHeight w:val="375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9673D">
              <w:rPr>
                <w:rFonts w:eastAsia="Times New Roman"/>
              </w:rPr>
              <w:t>"____"____________ 2021 г.</w:t>
            </w:r>
          </w:p>
        </w:tc>
        <w:tc>
          <w:tcPr>
            <w:tcW w:w="236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2832" w:type="dxa"/>
            <w:gridSpan w:val="2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39673D" w:rsidRPr="0039673D" w:rsidTr="0039673D">
        <w:trPr>
          <w:trHeight w:val="25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  <w:hideMark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</w:tcPr>
          <w:p w:rsidR="0039673D" w:rsidRPr="0039673D" w:rsidRDefault="0039673D" w:rsidP="0039673D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</w:tbl>
    <w:p w:rsidR="00644E95" w:rsidRPr="0039673D" w:rsidRDefault="00644E95" w:rsidP="0039673D">
      <w:pPr>
        <w:rPr>
          <w:sz w:val="22"/>
          <w:szCs w:val="22"/>
        </w:rPr>
      </w:pPr>
    </w:p>
    <w:sectPr w:rsidR="00644E95" w:rsidRPr="0039673D" w:rsidSect="00CD0A07">
      <w:pgSz w:w="11906" w:h="16838"/>
      <w:pgMar w:top="567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685C3E"/>
    <w:lvl w:ilvl="0">
      <w:numFmt w:val="bullet"/>
      <w:lvlText w:val="*"/>
      <w:lvlJc w:val="left"/>
    </w:lvl>
  </w:abstractNum>
  <w:abstractNum w:abstractNumId="1" w15:restartNumberingAfterBreak="0">
    <w:nsid w:val="01D035F6"/>
    <w:multiLevelType w:val="singleLevel"/>
    <w:tmpl w:val="AEE61E16"/>
    <w:lvl w:ilvl="0">
      <w:start w:val="2"/>
      <w:numFmt w:val="decimal"/>
      <w:lvlText w:val="8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4735A11"/>
    <w:multiLevelType w:val="hybridMultilevel"/>
    <w:tmpl w:val="61A68580"/>
    <w:lvl w:ilvl="0" w:tplc="A2F88860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6315"/>
    <w:multiLevelType w:val="multilevel"/>
    <w:tmpl w:val="DB280A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AC270DE"/>
    <w:multiLevelType w:val="hybridMultilevel"/>
    <w:tmpl w:val="3D08B8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13412"/>
    <w:multiLevelType w:val="hybridMultilevel"/>
    <w:tmpl w:val="AECC5A5E"/>
    <w:lvl w:ilvl="0" w:tplc="FFFFFFFF">
      <w:start w:val="15"/>
      <w:numFmt w:val="bullet"/>
      <w:lvlText w:val="–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7008E"/>
    <w:multiLevelType w:val="hybridMultilevel"/>
    <w:tmpl w:val="EE34DAFE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54F5"/>
    <w:multiLevelType w:val="multilevel"/>
    <w:tmpl w:val="132837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3C3663A"/>
    <w:multiLevelType w:val="singleLevel"/>
    <w:tmpl w:val="F1A882FA"/>
    <w:lvl w:ilvl="0">
      <w:start w:val="24"/>
      <w:numFmt w:val="decimal"/>
      <w:lvlText w:val="5.%1.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930A57"/>
    <w:multiLevelType w:val="singleLevel"/>
    <w:tmpl w:val="74F68504"/>
    <w:lvl w:ilvl="0">
      <w:start w:val="1"/>
      <w:numFmt w:val="decimal"/>
      <w:lvlText w:val="1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3807AD"/>
    <w:multiLevelType w:val="singleLevel"/>
    <w:tmpl w:val="33386C50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F966588"/>
    <w:multiLevelType w:val="singleLevel"/>
    <w:tmpl w:val="DB0E4198"/>
    <w:lvl w:ilvl="0">
      <w:start w:val="15"/>
      <w:numFmt w:val="decimal"/>
      <w:lvlText w:val="5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FD6B66"/>
    <w:multiLevelType w:val="singleLevel"/>
    <w:tmpl w:val="F93CF91E"/>
    <w:lvl w:ilvl="0">
      <w:start w:val="2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CD3AAF"/>
    <w:multiLevelType w:val="singleLevel"/>
    <w:tmpl w:val="07188AF0"/>
    <w:lvl w:ilvl="0">
      <w:start w:val="30"/>
      <w:numFmt w:val="decimal"/>
      <w:lvlText w:val="5.%1.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AC0536"/>
    <w:multiLevelType w:val="multilevel"/>
    <w:tmpl w:val="BE4CDF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5" w15:restartNumberingAfterBreak="0">
    <w:nsid w:val="369C46ED"/>
    <w:multiLevelType w:val="multilevel"/>
    <w:tmpl w:val="CFE2D0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8681EDA"/>
    <w:multiLevelType w:val="hybridMultilevel"/>
    <w:tmpl w:val="F030F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92CFD"/>
    <w:multiLevelType w:val="hybridMultilevel"/>
    <w:tmpl w:val="465804EE"/>
    <w:lvl w:ilvl="0" w:tplc="81480D1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D4D5AC3"/>
    <w:multiLevelType w:val="hybridMultilevel"/>
    <w:tmpl w:val="43AEC496"/>
    <w:lvl w:ilvl="0" w:tplc="6C4E7C20">
      <w:start w:val="15"/>
      <w:numFmt w:val="bullet"/>
      <w:pStyle w:val="Unnumberedlist"/>
      <w:lvlText w:val="–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D33F2"/>
    <w:multiLevelType w:val="multilevel"/>
    <w:tmpl w:val="23B655A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5C1F4E94"/>
    <w:multiLevelType w:val="singleLevel"/>
    <w:tmpl w:val="A718B7EA"/>
    <w:lvl w:ilvl="0">
      <w:start w:val="11"/>
      <w:numFmt w:val="decimal"/>
      <w:lvlText w:val="5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CC1171F"/>
    <w:multiLevelType w:val="singleLevel"/>
    <w:tmpl w:val="5526038A"/>
    <w:lvl w:ilvl="0">
      <w:start w:val="3"/>
      <w:numFmt w:val="decimal"/>
      <w:lvlText w:val="13.%1."/>
      <w:legacy w:legacy="1" w:legacySpace="0" w:legacyIndent="77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D2237CA"/>
    <w:multiLevelType w:val="singleLevel"/>
    <w:tmpl w:val="15886C68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0BD0A91"/>
    <w:multiLevelType w:val="singleLevel"/>
    <w:tmpl w:val="27402E2C"/>
    <w:lvl w:ilvl="0">
      <w:start w:val="2"/>
      <w:numFmt w:val="decimal"/>
      <w:lvlText w:val="8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9064E51"/>
    <w:multiLevelType w:val="singleLevel"/>
    <w:tmpl w:val="7854B444"/>
    <w:lvl w:ilvl="0">
      <w:start w:val="18"/>
      <w:numFmt w:val="decimal"/>
      <w:lvlText w:val="5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BFC7F89"/>
    <w:multiLevelType w:val="singleLevel"/>
    <w:tmpl w:val="E2AC61BC"/>
    <w:lvl w:ilvl="0">
      <w:start w:val="4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15E61D6"/>
    <w:multiLevelType w:val="multilevel"/>
    <w:tmpl w:val="0EFACE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0"/>
  </w:num>
  <w:num w:numId="7">
    <w:abstractNumId w:val="11"/>
  </w:num>
  <w:num w:numId="8">
    <w:abstractNumId w:val="24"/>
  </w:num>
  <w:num w:numId="9">
    <w:abstractNumId w:val="8"/>
  </w:num>
  <w:num w:numId="10">
    <w:abstractNumId w:val="1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3"/>
  </w:num>
  <w:num w:numId="13">
    <w:abstractNumId w:val="25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3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■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"/>
  </w:num>
  <w:num w:numId="20">
    <w:abstractNumId w:val="21"/>
  </w:num>
  <w:num w:numId="21">
    <w:abstractNumId w:val="4"/>
  </w:num>
  <w:num w:numId="22">
    <w:abstractNumId w:val="16"/>
  </w:num>
  <w:num w:numId="23">
    <w:abstractNumId w:val="2"/>
  </w:num>
  <w:num w:numId="24">
    <w:abstractNumId w:val="19"/>
  </w:num>
  <w:num w:numId="25">
    <w:abstractNumId w:val="14"/>
  </w:num>
  <w:num w:numId="26">
    <w:abstractNumId w:val="6"/>
  </w:num>
  <w:num w:numId="27">
    <w:abstractNumId w:val="3"/>
  </w:num>
  <w:num w:numId="28">
    <w:abstractNumId w:val="26"/>
  </w:num>
  <w:num w:numId="29">
    <w:abstractNumId w:val="18"/>
  </w:num>
  <w:num w:numId="30">
    <w:abstractNumId w:val="5"/>
  </w:num>
  <w:num w:numId="31">
    <w:abstractNumId w:val="15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46"/>
    <w:rsid w:val="000C015A"/>
    <w:rsid w:val="001330DB"/>
    <w:rsid w:val="00143675"/>
    <w:rsid w:val="001E0468"/>
    <w:rsid w:val="00204559"/>
    <w:rsid w:val="00244309"/>
    <w:rsid w:val="0035370B"/>
    <w:rsid w:val="00380D03"/>
    <w:rsid w:val="0039673D"/>
    <w:rsid w:val="00410E2F"/>
    <w:rsid w:val="004218E9"/>
    <w:rsid w:val="004C2B8A"/>
    <w:rsid w:val="005A282A"/>
    <w:rsid w:val="005A4B57"/>
    <w:rsid w:val="00637E24"/>
    <w:rsid w:val="00644E95"/>
    <w:rsid w:val="00677F72"/>
    <w:rsid w:val="006B00EA"/>
    <w:rsid w:val="006C009D"/>
    <w:rsid w:val="00761D58"/>
    <w:rsid w:val="007761C1"/>
    <w:rsid w:val="00780E99"/>
    <w:rsid w:val="007B4841"/>
    <w:rsid w:val="007D6575"/>
    <w:rsid w:val="00812A0A"/>
    <w:rsid w:val="00857FDF"/>
    <w:rsid w:val="00881640"/>
    <w:rsid w:val="0089349C"/>
    <w:rsid w:val="00894F8B"/>
    <w:rsid w:val="008B6D35"/>
    <w:rsid w:val="008E2751"/>
    <w:rsid w:val="00975B05"/>
    <w:rsid w:val="00A0532D"/>
    <w:rsid w:val="00A10775"/>
    <w:rsid w:val="00A317DF"/>
    <w:rsid w:val="00A47F3C"/>
    <w:rsid w:val="00A50206"/>
    <w:rsid w:val="00AA46BB"/>
    <w:rsid w:val="00B15CF5"/>
    <w:rsid w:val="00B41437"/>
    <w:rsid w:val="00B83357"/>
    <w:rsid w:val="00BA2756"/>
    <w:rsid w:val="00BE108E"/>
    <w:rsid w:val="00CA562E"/>
    <w:rsid w:val="00CD0A07"/>
    <w:rsid w:val="00CE5726"/>
    <w:rsid w:val="00D436E8"/>
    <w:rsid w:val="00D47C42"/>
    <w:rsid w:val="00D638AA"/>
    <w:rsid w:val="00D81D9B"/>
    <w:rsid w:val="00E55243"/>
    <w:rsid w:val="00E65E46"/>
    <w:rsid w:val="00F03F0B"/>
    <w:rsid w:val="00F41CDC"/>
    <w:rsid w:val="00F4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3FAC"/>
  <w15:docId w15:val="{66824074-04F6-4A51-81C4-F2D1A503C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18E9"/>
    <w:pPr>
      <w:keepNext/>
      <w:widowControl/>
      <w:autoSpaceDE/>
      <w:autoSpaceDN/>
      <w:adjustRightInd/>
      <w:spacing w:before="240" w:after="60"/>
      <w:ind w:left="1416" w:hanging="708"/>
      <w:outlineLvl w:val="1"/>
    </w:pPr>
    <w:rPr>
      <w:rFonts w:ascii="Arial" w:eastAsia="Arial Unicode MS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65E46"/>
  </w:style>
  <w:style w:type="paragraph" w:customStyle="1" w:styleId="Style3">
    <w:name w:val="Style3"/>
    <w:basedOn w:val="a"/>
    <w:uiPriority w:val="99"/>
    <w:rsid w:val="00E65E46"/>
    <w:pPr>
      <w:spacing w:line="259" w:lineRule="exact"/>
      <w:ind w:firstLine="734"/>
    </w:pPr>
  </w:style>
  <w:style w:type="paragraph" w:customStyle="1" w:styleId="Style8">
    <w:name w:val="Style8"/>
    <w:basedOn w:val="a"/>
    <w:uiPriority w:val="99"/>
    <w:rsid w:val="00E65E46"/>
    <w:pPr>
      <w:spacing w:line="252" w:lineRule="exact"/>
      <w:jc w:val="both"/>
    </w:pPr>
  </w:style>
  <w:style w:type="paragraph" w:customStyle="1" w:styleId="Style9">
    <w:name w:val="Style9"/>
    <w:basedOn w:val="a"/>
    <w:uiPriority w:val="99"/>
    <w:rsid w:val="00E65E46"/>
    <w:pPr>
      <w:spacing w:line="274" w:lineRule="exact"/>
      <w:ind w:firstLine="720"/>
      <w:jc w:val="both"/>
    </w:pPr>
  </w:style>
  <w:style w:type="paragraph" w:customStyle="1" w:styleId="Style10">
    <w:name w:val="Style10"/>
    <w:basedOn w:val="a"/>
    <w:uiPriority w:val="99"/>
    <w:rsid w:val="00E65E46"/>
    <w:pPr>
      <w:spacing w:line="274" w:lineRule="exact"/>
      <w:ind w:firstLine="598"/>
      <w:jc w:val="both"/>
    </w:pPr>
  </w:style>
  <w:style w:type="paragraph" w:customStyle="1" w:styleId="Style11">
    <w:name w:val="Style11"/>
    <w:basedOn w:val="a"/>
    <w:uiPriority w:val="99"/>
    <w:rsid w:val="00E65E46"/>
  </w:style>
  <w:style w:type="paragraph" w:customStyle="1" w:styleId="Style12">
    <w:name w:val="Style12"/>
    <w:basedOn w:val="a"/>
    <w:uiPriority w:val="99"/>
    <w:rsid w:val="00E65E46"/>
    <w:pPr>
      <w:spacing w:line="274" w:lineRule="exact"/>
      <w:ind w:firstLine="576"/>
      <w:jc w:val="both"/>
    </w:pPr>
  </w:style>
  <w:style w:type="character" w:customStyle="1" w:styleId="FontStyle15">
    <w:name w:val="Font Style15"/>
    <w:basedOn w:val="a0"/>
    <w:uiPriority w:val="99"/>
    <w:rsid w:val="00E65E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65E4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65E46"/>
    <w:pPr>
      <w:spacing w:line="277" w:lineRule="exact"/>
      <w:jc w:val="center"/>
    </w:pPr>
  </w:style>
  <w:style w:type="paragraph" w:styleId="a3">
    <w:name w:val="List Paragraph"/>
    <w:basedOn w:val="a"/>
    <w:link w:val="a4"/>
    <w:uiPriority w:val="99"/>
    <w:qFormat/>
    <w:rsid w:val="006C009D"/>
    <w:pPr>
      <w:ind w:left="720"/>
      <w:contextualSpacing/>
    </w:pPr>
  </w:style>
  <w:style w:type="paragraph" w:customStyle="1" w:styleId="Style2">
    <w:name w:val="Style2"/>
    <w:basedOn w:val="a"/>
    <w:uiPriority w:val="99"/>
    <w:rsid w:val="00E55243"/>
  </w:style>
  <w:style w:type="paragraph" w:customStyle="1" w:styleId="Style13">
    <w:name w:val="Style13"/>
    <w:basedOn w:val="a"/>
    <w:uiPriority w:val="99"/>
    <w:rsid w:val="00E55243"/>
    <w:pPr>
      <w:spacing w:line="275" w:lineRule="exact"/>
      <w:ind w:firstLine="274"/>
      <w:jc w:val="both"/>
    </w:pPr>
  </w:style>
  <w:style w:type="character" w:customStyle="1" w:styleId="FontStyle28">
    <w:name w:val="Font Style28"/>
    <w:basedOn w:val="a0"/>
    <w:uiPriority w:val="99"/>
    <w:rsid w:val="00E552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0"/>
    <w:uiPriority w:val="99"/>
    <w:rsid w:val="00E55243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uiPriority w:val="99"/>
    <w:rsid w:val="00E55243"/>
    <w:pPr>
      <w:spacing w:line="274" w:lineRule="exact"/>
      <w:ind w:firstLine="857"/>
      <w:jc w:val="both"/>
    </w:pPr>
  </w:style>
  <w:style w:type="paragraph" w:customStyle="1" w:styleId="Style17">
    <w:name w:val="Style17"/>
    <w:basedOn w:val="a"/>
    <w:uiPriority w:val="99"/>
    <w:rsid w:val="00E55243"/>
    <w:pPr>
      <w:spacing w:line="277" w:lineRule="exact"/>
      <w:ind w:firstLine="374"/>
      <w:jc w:val="both"/>
    </w:pPr>
  </w:style>
  <w:style w:type="paragraph" w:customStyle="1" w:styleId="Style22">
    <w:name w:val="Style22"/>
    <w:basedOn w:val="a"/>
    <w:uiPriority w:val="99"/>
    <w:rsid w:val="00E55243"/>
    <w:pPr>
      <w:spacing w:line="277" w:lineRule="exact"/>
    </w:pPr>
  </w:style>
  <w:style w:type="paragraph" w:customStyle="1" w:styleId="Style19">
    <w:name w:val="Style19"/>
    <w:basedOn w:val="a"/>
    <w:uiPriority w:val="99"/>
    <w:rsid w:val="00E55243"/>
    <w:pPr>
      <w:spacing w:line="274" w:lineRule="exact"/>
      <w:ind w:hanging="274"/>
    </w:pPr>
  </w:style>
  <w:style w:type="paragraph" w:customStyle="1" w:styleId="Style20">
    <w:name w:val="Style20"/>
    <w:basedOn w:val="a"/>
    <w:uiPriority w:val="99"/>
    <w:rsid w:val="00E55243"/>
    <w:pPr>
      <w:spacing w:line="277" w:lineRule="exact"/>
      <w:ind w:firstLine="706"/>
      <w:jc w:val="both"/>
    </w:pPr>
  </w:style>
  <w:style w:type="paragraph" w:customStyle="1" w:styleId="Style5">
    <w:name w:val="Style5"/>
    <w:basedOn w:val="a"/>
    <w:uiPriority w:val="99"/>
    <w:rsid w:val="00A50206"/>
    <w:pPr>
      <w:spacing w:line="274" w:lineRule="exact"/>
      <w:ind w:firstLine="720"/>
    </w:pPr>
  </w:style>
  <w:style w:type="paragraph" w:styleId="a5">
    <w:name w:val="No Spacing"/>
    <w:uiPriority w:val="1"/>
    <w:qFormat/>
    <w:rsid w:val="00396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218E9"/>
    <w:rPr>
      <w:rFonts w:ascii="Arial" w:eastAsia="Arial Unicode MS" w:hAnsi="Arial" w:cs="Arial"/>
      <w:b/>
      <w:bCs/>
      <w:i/>
      <w:iCs/>
      <w:sz w:val="24"/>
      <w:szCs w:val="24"/>
      <w:lang w:eastAsia="ru-RU"/>
    </w:rPr>
  </w:style>
  <w:style w:type="paragraph" w:customStyle="1" w:styleId="1">
    <w:name w:val="Без интервала1"/>
    <w:basedOn w:val="a"/>
    <w:rsid w:val="004218E9"/>
    <w:pPr>
      <w:widowControl/>
      <w:autoSpaceDE/>
      <w:autoSpaceDN/>
      <w:adjustRightInd/>
    </w:pPr>
    <w:rPr>
      <w:rFonts w:eastAsia="Times New Roman"/>
    </w:rPr>
  </w:style>
  <w:style w:type="paragraph" w:customStyle="1" w:styleId="11">
    <w:name w:val="Без интервала11"/>
    <w:basedOn w:val="a"/>
    <w:rsid w:val="004218E9"/>
    <w:pPr>
      <w:widowControl/>
      <w:autoSpaceDE/>
      <w:autoSpaceDN/>
      <w:adjustRightInd/>
    </w:pPr>
    <w:rPr>
      <w:rFonts w:eastAsia="Times New Roman"/>
    </w:rPr>
  </w:style>
  <w:style w:type="character" w:customStyle="1" w:styleId="a4">
    <w:name w:val="Абзац списка Знак"/>
    <w:basedOn w:val="a0"/>
    <w:link w:val="a3"/>
    <w:uiPriority w:val="99"/>
    <w:locked/>
    <w:rsid w:val="004218E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numberedlist">
    <w:name w:val="Unnumbered list"/>
    <w:basedOn w:val="a"/>
    <w:uiPriority w:val="99"/>
    <w:rsid w:val="004218E9"/>
    <w:pPr>
      <w:widowControl/>
      <w:numPr>
        <w:numId w:val="29"/>
      </w:numPr>
      <w:autoSpaceDE/>
      <w:autoSpaceDN/>
      <w:adjustRightInd/>
      <w:spacing w:before="60" w:after="60"/>
      <w:jc w:val="both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7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Пушечников Дмитрий Николаевич</dc:creator>
  <cp:keywords/>
  <dc:description/>
  <cp:lastModifiedBy>Derbina Ekaterina</cp:lastModifiedBy>
  <cp:revision>46</cp:revision>
  <dcterms:created xsi:type="dcterms:W3CDTF">2019-03-25T07:02:00Z</dcterms:created>
  <dcterms:modified xsi:type="dcterms:W3CDTF">2021-10-19T06:52:00Z</dcterms:modified>
</cp:coreProperties>
</file>